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 w:eastAsiaTheme="minorEastAsia" w:cstheme="minorBidi"/>
          <w:kern w:val="44"/>
          <w:sz w:val="36"/>
          <w:szCs w:val="36"/>
        </w:rPr>
      </w:pPr>
      <w:r>
        <w:rPr>
          <w:rFonts w:hint="eastAsia" w:asciiTheme="minorHAnsi" w:hAnsiTheme="minorHAnsi" w:eastAsiaTheme="minorEastAsia" w:cstheme="minorBidi"/>
          <w:kern w:val="44"/>
          <w:sz w:val="36"/>
          <w:szCs w:val="36"/>
        </w:rPr>
        <w:t>广东能源茂名热电厂有限公司自行监测方案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企业基本情况</w:t>
      </w:r>
    </w:p>
    <w:tbl>
      <w:tblPr>
        <w:tblStyle w:val="8"/>
        <w:tblW w:w="104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0"/>
        <w:gridCol w:w="78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法定代表人</w:t>
            </w:r>
          </w:p>
        </w:tc>
        <w:tc>
          <w:tcPr>
            <w:tcW w:w="7826" w:type="dxa"/>
          </w:tcPr>
          <w:p>
            <w:pPr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李勇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2.曾用名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3.组织机构代码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76656459-8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4.社会信用代码</w:t>
            </w:r>
          </w:p>
        </w:tc>
        <w:tc>
          <w:tcPr>
            <w:tcW w:w="7826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914409007665645985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5.方案审核地址</w:t>
            </w:r>
          </w:p>
        </w:tc>
        <w:tc>
          <w:tcPr>
            <w:tcW w:w="7826" w:type="dxa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广东省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省（自治区、直辖市）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茂名市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地区（市、州、盟）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茂南区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县（区、市、旗）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6.企业详细地址</w:t>
            </w:r>
          </w:p>
        </w:tc>
        <w:tc>
          <w:tcPr>
            <w:tcW w:w="7826" w:type="dxa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广东省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省（自治区、直辖市）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茂名市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地区（市、州、盟）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茂南区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县（区、市、旗）乡（镇）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茂名市油城三路47号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街（村）、门牌号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7.企业地理位置</w:t>
            </w:r>
          </w:p>
        </w:tc>
        <w:tc>
          <w:tcPr>
            <w:tcW w:w="7826" w:type="dxa"/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中心经度/中心纬度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110,52,47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/21,40,37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8.联系方式</w:t>
            </w:r>
          </w:p>
        </w:tc>
        <w:tc>
          <w:tcPr>
            <w:tcW w:w="7826" w:type="dxa"/>
            <w:tcBorders>
              <w:bottom w:val="single" w:color="auto" w:sz="4" w:space="0"/>
            </w:tcBorders>
          </w:tcPr>
          <w:p>
            <w:pPr>
              <w:rPr>
                <w:rFonts w:hint="default" w:ascii="宋体" w:hAnsi="宋体" w:eastAsia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电话号码：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0668-299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2470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联系人：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孔凡均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手机号码：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13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>592992030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传真号码：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邮政编码：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525011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9.登记注册类型</w:t>
            </w:r>
          </w:p>
        </w:tc>
        <w:tc>
          <w:tcPr>
            <w:tcW w:w="7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top w:val="single" w:color="auto" w:sz="4" w:space="0"/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10.企业规模</w:t>
            </w:r>
          </w:p>
        </w:tc>
        <w:tc>
          <w:tcPr>
            <w:tcW w:w="7826" w:type="dxa"/>
            <w:tcBorders>
              <w:top w:val="single" w:color="auto" w:sz="4" w:space="0"/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特大型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11.企业类别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工业企业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12.行业类别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行业名称：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火力发电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行业代码：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4411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13.建成投产时间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2003-04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14.所在流域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流域名称：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粤桂琼沿海诸河流域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流域代码：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>HE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0" w:type="dxa"/>
            <w:tcBorders>
              <w:lef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15.所在海域</w:t>
            </w:r>
          </w:p>
        </w:tc>
        <w:tc>
          <w:tcPr>
            <w:tcW w:w="7826" w:type="dxa"/>
            <w:tcBorders>
              <w:right w:val="nil"/>
            </w:tcBorders>
          </w:tcPr>
          <w:p>
            <w:pPr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海域名称：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海域代码：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                </w:t>
            </w:r>
          </w:p>
        </w:tc>
      </w:tr>
    </w:tbl>
    <w:p/>
    <w:p>
      <w:r>
        <w:br w:type="page"/>
      </w:r>
    </w:p>
    <w:p>
      <w:p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监测方案</w:t>
      </w:r>
    </w:p>
    <w:p>
      <w:pPr>
        <w:pStyle w:val="5"/>
      </w:pPr>
      <w:r>
        <w:rPr>
          <w:rFonts w:hint="eastAsia"/>
        </w:rPr>
        <w:t>废气监测方案</w:t>
      </w:r>
    </w:p>
    <w:tbl>
      <w:tblPr>
        <w:tblStyle w:val="8"/>
        <w:tblW w:w="15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399"/>
        <w:gridCol w:w="1399"/>
        <w:gridCol w:w="1186"/>
        <w:gridCol w:w="1276"/>
        <w:gridCol w:w="1275"/>
        <w:gridCol w:w="2694"/>
        <w:gridCol w:w="708"/>
        <w:gridCol w:w="1255"/>
        <w:gridCol w:w="1399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9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排放设备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设备类型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编号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MF0007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氮氧化物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上限:200mg/Nm3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固定污染源废气 氮氧化物的测定 非分散红外吸收法HJ 692-2014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MF0007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林格曼黑度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《空气和废气监测分析方法》（第四版增补版）国家环保总局（2003年）测烟望远镜法（B）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MF0007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上限:30mg/Nm3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固定污染源排气中颗粒物测定与气态污染物采样方法GB/T 16157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MF0007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二氧化硫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上限:200mg/Nm3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固定污染源废气 二氧化硫的测定 非分散红外吸收法HJ 629-2011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MF0007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汞及其化合物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上限:0.03mg/Nm3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《空气和废气监测分析方法》（第四版增补版）国家环保总局（2003年）原子荧光法（B）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MF0020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林格曼黑度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《空气和废气监测分析方法》（第四版增补版）国家环保总局（2003年）测烟望远镜法（B）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MF0020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氮氧化物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上限:200mg/Nm3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固定污染源废气 氮氧化物的测定 非分散红外吸收法HJ 692-2014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MF0020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汞及其化合物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上限:0.03mg/Nm3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《空气和废气监测分析方法》（第四版增补版）国家环保总局（2003年）原子荧光法（B）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MF0020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二氧化硫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上限:200mg/Nm3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固定污染源废气 二氧化硫的测定 非分散红外吸收法HJ 629-2011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MF0020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上限:30mg/Nm3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固定污染源排气中颗粒物测定与气态污染物采样方法GB/T 16157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MF0032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汞及其化合物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上限:0.03mg/Nm3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《空气和废气监测分析方法》（第四版增补版）国家环保总局（2003年）原子荧光法（B）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MF0032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氮氧化物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上限:100mg/Nm3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固定污染源废气 氮氧化物的测定 非分散红外吸收法HJ 692-2014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MF0032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二氧化硫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上限:200mg/Nm3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固定污染源废气 二氧化硫的测定 非分散红外吸收法HJ 629-2011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MF0032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上限:30mg/Nm3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在线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1次/1小时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固定污染源排气中颗粒物测定与气态污染物采样方法GB/T 16157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烟气连续监测系统（烟气分析仪）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燃烧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MF0032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废气监测点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林格曼黑度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上限:1mg/Nm3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《空气和废气监测分析方法》（第四版增补版）国家环保总局（2003年）测烟望远镜法（B）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</w:pPr>
          </w:p>
        </w:tc>
      </w:tr>
    </w:tbl>
    <w:p/>
    <w:p>
      <w:pPr>
        <w:widowControl/>
        <w:jc w:val="left"/>
      </w:pPr>
      <w:r>
        <w:br w:type="page"/>
      </w:r>
    </w:p>
    <w:p>
      <w:p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5"/>
      </w:pPr>
      <w:r>
        <w:rPr>
          <w:rFonts w:hint="eastAsia"/>
        </w:rPr>
        <w:t>废水监测方案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1674"/>
        <w:gridCol w:w="1425"/>
        <w:gridCol w:w="1380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悬浮物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上限:100mg/L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悬浮物的测定 重量法GB 11901-89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溶解性总固体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化学需氧量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上限:110mg/L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化学需氧量的测定 重铬酸盐法GB 11914-89,高氯废水 化学需氧量的测定 碘化钾碱性高锰酸钾法HJ/T 132-2003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上限:9无量纲下限:6无量纲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pH值的测定 玻璃电极法GB/T 6920-86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流量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挥发酚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上限:0.5mg/L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挥发酚的测定 溴化容量法HJ 502-2009 代替GB 7491-87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硫化物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上限:1.0mg/L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硫化物的测定 气相分子吸收光谱法HJ/T 200-2005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石油类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上限:8.0mg/L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石油类和动植物油类的测定 红外分光光度法HJ 637-2012代替GB/T 16488-1996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氨氮（NH3-N）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上限:15mg/L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水质 氨氮的测定 气相分子吸收光谱法HJ/T 195-2005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西排口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氟化物（以F-计）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上限: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mg/L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1次/1月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水质 氟化物的测定 氟试剂分光光度法HJ 488—2009 代替GB 7483—87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pH值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水质 pH值的测定 玻璃电极法GB/T 6920-86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悬浮物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水质 悬浮物的测定 重量法 GB 11901-1989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化学需氧量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水质 化学需氧量的测定 快速消解分光光度法 HJ/T 399-2007,水质 化学需氧量的测定 重铬酸盐法 HJ 828-2017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总汞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水质 总汞的测定 冷原子吸收分光光度法HJ 597-2011 代替GB 7468-87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水质 铜、锌、铅、镉的测定 原子吸收分光光度法GB 7475-87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水质 总砷的测定 二乙基二硫代氨基甲酸银分光光度法GB 7485-87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总铅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水质 铜、锌、铅、镉的测定 原子吸收分光光度法GB 7475-87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硫化物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水质 硫化物的测定 气相分子吸收光谱法 HJ/T 200-2005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脱硫废水（不外排）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1次/季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</w:tbl>
    <w:p>
      <w:r>
        <w:br w:type="page"/>
      </w:r>
    </w:p>
    <w:p>
      <w:p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  <w:bookmarkStart w:id="0" w:name="_GoBack"/>
      <w:bookmarkEnd w:id="0"/>
    </w:p>
    <w:p>
      <w:pPr>
        <w:pStyle w:val="5"/>
      </w:pPr>
      <w:r>
        <w:rPr>
          <w:rFonts w:hint="eastAsia"/>
        </w:rPr>
        <w:t>无组织监测方案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氨罐区周边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环境空气和废气 氨的测定 纳氏试剂分光光度法HJ 533-2009 代替GB/T14668-93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厂界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粉尘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1次/1季度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固定污染源排气中颗粒物测定与气态污染物采样方法GB/T 16157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厂界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非甲烷总烃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1次/1年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固定污染源排气中非甲烷总烃的测定 气相色谱法HJ/T 38-1999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储油罐周边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非甲烷总烃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1次/1年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环境空气 总烃、甲烷和非甲烷总烃的测定 直接进样-气相色谱法(HJ604-2017)或环境空气和废气总烃、甲烷和非甲烷总烃便携式监测仪技术要求及检测方法(EJ1012-2018)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储油罐周边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非甲烷总烃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1次/1年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按便携式监测仪器相关规定执行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脱硫废水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pH值,悬浮物,化学需氧量,总汞,总镉,总砷,总铅,硫化物,流量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排污许可证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1次/季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监测脱硫废水，脱硫废水不外排</w:t>
            </w:r>
          </w:p>
        </w:tc>
      </w:tr>
    </w:tbl>
    <w:p>
      <w:r>
        <w:br w:type="page"/>
      </w:r>
    </w:p>
    <w:p>
      <w:p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</w:p>
    <w:p>
      <w:pPr>
        <w:pStyle w:val="5"/>
      </w:pPr>
      <w:r>
        <w:rPr>
          <w:rFonts w:hint="eastAsia"/>
        </w:rPr>
        <w:t>周边环境监测方案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</w:tbl>
    <w:p>
      <w:r>
        <w:br w:type="page"/>
      </w:r>
    </w:p>
    <w:p>
      <w:pPr>
        <w:pStyle w:val="5"/>
      </w:pPr>
      <w:r>
        <w:rPr>
          <w:rFonts w:hint="eastAsia"/>
        </w:rPr>
        <w:t>厂界噪声监测方案</w:t>
      </w:r>
    </w:p>
    <w:tbl>
      <w:tblPr>
        <w:tblStyle w:val="8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1275"/>
        <w:gridCol w:w="2268"/>
        <w:gridCol w:w="1236"/>
        <w:gridCol w:w="1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监测点位</w:t>
            </w:r>
          </w:p>
        </w:tc>
        <w:tc>
          <w:tcPr>
            <w:tcW w:w="141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监测指标</w:t>
            </w:r>
          </w:p>
        </w:tc>
        <w:tc>
          <w:tcPr>
            <w:tcW w:w="127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排放限值</w:t>
            </w:r>
          </w:p>
        </w:tc>
        <w:tc>
          <w:tcPr>
            <w:tcW w:w="2268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标准名称</w:t>
            </w:r>
          </w:p>
        </w:tc>
        <w:tc>
          <w:tcPr>
            <w:tcW w:w="123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监测方式</w:t>
            </w:r>
          </w:p>
        </w:tc>
        <w:tc>
          <w:tcPr>
            <w:tcW w:w="1316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监测频次</w:t>
            </w:r>
          </w:p>
        </w:tc>
        <w:tc>
          <w:tcPr>
            <w:tcW w:w="198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监测方法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N4厂界北外1m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等效声级,最大声级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昼间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65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夜间55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工业企业厂界环境噪声排放标准/GB 12348—2008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1次/季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N3厂界西外1m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等效声级,最大声级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昼间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65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夜间55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工业企业厂界环境噪声排放标准/GB 12348—2008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1次/季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N2厂界南外1m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等效声级,最大声级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昼间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65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夜间55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工业企业厂界环境噪声排放标准/GB 12348—2008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1次/季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N1厂界东外1m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等效声级,最大声级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昼间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65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夜间55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dB(A)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工业企业厂界环境噪声排放标准/GB 12348—2008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手工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1次/季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</w:tbl>
    <w:p>
      <w:pPr>
        <w:rPr>
          <w:rFonts w:hint="eastAsia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26" w:charSpace="0"/>
        </w:sectPr>
      </w:pPr>
      <w:r>
        <w:br w:type="page"/>
      </w:r>
    </w:p>
    <w:p>
      <w:pPr>
        <w:rPr>
          <w:rFonts w:hint="eastAsia"/>
        </w:rPr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企业在线监测设备信息</w:t>
      </w:r>
    </w:p>
    <w:p>
      <w:pPr>
        <w:pStyle w:val="5"/>
      </w:pPr>
      <w:r>
        <w:rPr>
          <w:rFonts w:hint="eastAsia"/>
        </w:rPr>
        <w:t>自动监测设备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 xml:space="preserve">U23 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SIEMENS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 xml:space="preserve">ASM181-WS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PCME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 xml:space="preserve">U23 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SIEMENS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 xml:space="preserve">ASM181-WS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PCME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42i</w:t>
            </w:r>
            <w:r>
              <w:rPr>
                <w:rFonts w:hint="eastAsia" w:eastAsia="楷体_GB2312"/>
                <w:sz w:val="24"/>
              </w:rPr>
              <w:t xml:space="preserve">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ThermoFisher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 xml:space="preserve">43i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ThermoFisher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 xml:space="preserve">ASM181-WS </w:t>
            </w: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eastAsia="楷体_GB2312"/>
                <w:sz w:val="24"/>
              </w:rPr>
              <w:t>PCME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烟气连续监测系统（烟气分析仪）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pStyle w:val="5"/>
      </w:pPr>
      <w:r>
        <w:rPr>
          <w:rFonts w:hint="eastAsia"/>
        </w:rPr>
        <w:t>手工监测设备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监测设备名称</w:t>
            </w:r>
          </w:p>
        </w:tc>
        <w:tc>
          <w:tcPr>
            <w:tcW w:w="348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348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生产厂家</w:t>
            </w:r>
          </w:p>
        </w:tc>
      </w:tr>
    </w:tbl>
    <w:p>
      <w:pPr>
        <w:pStyle w:val="2"/>
        <w:numPr>
          <w:ilvl w:val="0"/>
          <w:numId w:val="1"/>
        </w:numPr>
      </w:pPr>
      <w:r>
        <w:rPr>
          <w:rFonts w:hint="eastAsia"/>
        </w:rPr>
        <w:t>企业治理设施</w:t>
      </w:r>
    </w:p>
    <w:p>
      <w:pPr>
        <w:pStyle w:val="5"/>
      </w:pPr>
      <w:r>
        <w:rPr>
          <w:rFonts w:hint="eastAsia"/>
        </w:rPr>
        <w:t>废气治理设施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091"/>
        <w:gridCol w:w="2091"/>
        <w:gridCol w:w="2091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所在排放设备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设施类别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脱硝系统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采用高效低氮燃烧器＋SCR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除尘器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静电除尘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除尘器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电袋复合除尘器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喷淋塔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石灰石-石膏湿法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除尘器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煤粉锅炉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电袋复合除尘器,湿式电除尘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pStyle w:val="5"/>
      </w:pPr>
      <w:r>
        <w:rPr>
          <w:rFonts w:hint="eastAsia"/>
        </w:rPr>
        <w:t>废水治理设施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091"/>
        <w:gridCol w:w="2091"/>
        <w:gridCol w:w="2091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设施名称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处理方法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处理能力</w:t>
            </w:r>
          </w:p>
        </w:tc>
        <w:tc>
          <w:tcPr>
            <w:tcW w:w="209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处理工艺</w:t>
            </w:r>
          </w:p>
        </w:tc>
        <w:tc>
          <w:tcPr>
            <w:tcW w:w="20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投资总额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CA6594"/>
    <w:multiLevelType w:val="multilevel"/>
    <w:tmpl w:val="0BCA6594"/>
    <w:lvl w:ilvl="0" w:tentative="0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D2"/>
    <w:rsid w:val="0000372D"/>
    <w:rsid w:val="000A2111"/>
    <w:rsid w:val="001E34AF"/>
    <w:rsid w:val="002317D2"/>
    <w:rsid w:val="00255161"/>
    <w:rsid w:val="003B53B4"/>
    <w:rsid w:val="00420EB2"/>
    <w:rsid w:val="00443BF4"/>
    <w:rsid w:val="00471402"/>
    <w:rsid w:val="004A1C3F"/>
    <w:rsid w:val="007F7496"/>
    <w:rsid w:val="00842E43"/>
    <w:rsid w:val="008B1FB9"/>
    <w:rsid w:val="00A15DF7"/>
    <w:rsid w:val="00A213C7"/>
    <w:rsid w:val="00B95592"/>
    <w:rsid w:val="00F15F19"/>
    <w:rsid w:val="00FB00D3"/>
    <w:rsid w:val="00FE5115"/>
    <w:rsid w:val="25B6075A"/>
    <w:rsid w:val="3BFE2BB7"/>
    <w:rsid w:val="3C91048F"/>
    <w:rsid w:val="55455FD6"/>
    <w:rsid w:val="7B7A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0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字符"/>
    <w:basedOn w:val="9"/>
    <w:link w:val="6"/>
    <w:qFormat/>
    <w:uiPriority w:val="10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11">
    <w:name w:val="标题 1 字符"/>
    <w:basedOn w:val="9"/>
    <w:link w:val="2"/>
    <w:qFormat/>
    <w:uiPriority w:val="9"/>
    <w:rPr>
      <w:b/>
      <w:bCs/>
      <w:kern w:val="44"/>
      <w:sz w:val="30"/>
      <w:szCs w:val="44"/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副标题 字符"/>
    <w:basedOn w:val="9"/>
    <w:link w:val="5"/>
    <w:qFormat/>
    <w:uiPriority w:val="11"/>
    <w:rPr>
      <w:b/>
      <w:bCs/>
      <w:kern w:val="28"/>
      <w:sz w:val="32"/>
      <w:szCs w:val="32"/>
    </w:rPr>
  </w:style>
  <w:style w:type="paragraph" w:customStyle="1" w:styleId="16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202</Words>
  <Characters>1154</Characters>
  <Lines>9</Lines>
  <Paragraphs>2</Paragraphs>
  <TotalTime>1</TotalTime>
  <ScaleCrop>false</ScaleCrop>
  <LinksUpToDate>false</LinksUpToDate>
  <CharactersWithSpaces>1354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2019-03-15T07:57:00Z</dcterms:created>
  <dc:creator>hz pan</dc:creator>
  <cp:lastModifiedBy>J-kong</cp:lastModifiedBy>
  <dcterms:modified xsi:type="dcterms:W3CDTF">2025-05-22T08:55:06Z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202213CEE1134961B42F94B93524EBAC</vt:lpwstr>
  </property>
</Properties>
</file>