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line="600" w:lineRule="exact"/>
        <w:jc w:val="center"/>
        <w:rPr>
          <w:rFonts w:ascii="Times New Roman" w:hAnsi="Times New Roman" w:eastAsia="华文宋体"/>
          <w:b/>
          <w:bCs/>
          <w:kern w:val="0"/>
          <w:sz w:val="48"/>
          <w:szCs w:val="48"/>
        </w:rPr>
      </w:pPr>
      <w:r>
        <w:rPr>
          <w:rFonts w:hint="eastAsia" w:ascii="Times New Roman" w:hAnsi="Times New Roman" w:eastAsia="华文宋体"/>
          <w:b/>
          <w:bCs/>
          <w:kern w:val="0"/>
          <w:sz w:val="48"/>
          <w:szCs w:val="48"/>
        </w:rPr>
        <w:t>茂名市电白区粤熙银翡玻璃有限公司</w:t>
      </w:r>
    </w:p>
    <w:p>
      <w:pPr>
        <w:widowControl/>
        <w:spacing w:before="100" w:beforeAutospacing="1" w:after="100" w:afterAutospacing="1" w:line="600" w:lineRule="exact"/>
        <w:jc w:val="center"/>
        <w:rPr>
          <w:rFonts w:ascii="Times New Roman" w:hAnsi="Times New Roman" w:eastAsia="华文宋体"/>
          <w:b/>
          <w:bCs/>
          <w:kern w:val="0"/>
          <w:sz w:val="48"/>
          <w:szCs w:val="48"/>
        </w:rPr>
      </w:pPr>
      <w:r>
        <w:rPr>
          <w:rFonts w:hint="eastAsia" w:ascii="Times New Roman" w:hAnsi="Times New Roman" w:eastAsia="华文宋体"/>
          <w:b/>
          <w:bCs/>
          <w:kern w:val="0"/>
          <w:sz w:val="48"/>
          <w:szCs w:val="48"/>
        </w:rPr>
        <w:t>年加工17000平方米玻璃制品建设</w:t>
      </w:r>
    </w:p>
    <w:p>
      <w:pPr>
        <w:widowControl/>
        <w:spacing w:before="100" w:beforeAutospacing="1" w:after="100" w:afterAutospacing="1" w:line="600" w:lineRule="exact"/>
        <w:jc w:val="center"/>
        <w:rPr>
          <w:rFonts w:ascii="Times New Roman" w:hAnsi="Times New Roman" w:eastAsia="华文宋体"/>
          <w:b/>
          <w:bCs/>
          <w:kern w:val="0"/>
          <w:sz w:val="48"/>
          <w:szCs w:val="48"/>
        </w:rPr>
      </w:pPr>
      <w:r>
        <w:rPr>
          <w:rFonts w:hint="eastAsia" w:ascii="Times New Roman" w:hAnsi="Times New Roman" w:eastAsia="华文宋体"/>
          <w:b/>
          <w:bCs/>
          <w:kern w:val="0"/>
          <w:sz w:val="48"/>
          <w:szCs w:val="48"/>
        </w:rPr>
        <w:t>项目</w:t>
      </w:r>
      <w:r>
        <w:rPr>
          <w:rFonts w:ascii="Times New Roman" w:hAnsi="Times New Roman" w:eastAsia="华文宋体"/>
          <w:b/>
          <w:bCs/>
          <w:kern w:val="0"/>
          <w:sz w:val="48"/>
          <w:szCs w:val="48"/>
        </w:rPr>
        <w:t>竣工环境保护验收意见</w:t>
      </w:r>
    </w:p>
    <w:p>
      <w:pPr>
        <w:spacing w:line="360" w:lineRule="auto"/>
        <w:ind w:firstLine="800" w:firstLineChars="250"/>
        <w:rPr>
          <w:rFonts w:ascii="Times New Roman" w:hAnsi="Times New Roman" w:eastAsia="华文宋体"/>
          <w:kern w:val="0"/>
          <w:sz w:val="32"/>
          <w:szCs w:val="32"/>
        </w:rPr>
      </w:pPr>
    </w:p>
    <w:p>
      <w:pPr>
        <w:spacing w:line="360" w:lineRule="auto"/>
        <w:ind w:firstLine="800" w:firstLineChars="250"/>
        <w:rPr>
          <w:rFonts w:ascii="Times New Roman" w:hAnsi="Times New Roman" w:eastAsia="华文宋体"/>
          <w:kern w:val="0"/>
          <w:sz w:val="32"/>
          <w:szCs w:val="32"/>
        </w:rPr>
      </w:pPr>
      <w:r>
        <w:rPr>
          <w:rFonts w:ascii="Times New Roman" w:hAnsi="Times New Roman" w:eastAsia="华文宋体"/>
          <w:kern w:val="0"/>
          <w:sz w:val="32"/>
          <w:szCs w:val="32"/>
        </w:rPr>
        <w:t>根据《建设项目竣工环境保护验收暂行办法》的规定，202</w:t>
      </w:r>
      <w:r>
        <w:rPr>
          <w:rFonts w:hint="eastAsia" w:ascii="Times New Roman" w:hAnsi="Times New Roman" w:eastAsia="华文宋体"/>
          <w:kern w:val="0"/>
          <w:sz w:val="32"/>
          <w:szCs w:val="32"/>
        </w:rPr>
        <w:t>4</w:t>
      </w:r>
      <w:r>
        <w:rPr>
          <w:rFonts w:ascii="Times New Roman" w:hAnsi="Times New Roman" w:eastAsia="华文宋体"/>
          <w:kern w:val="0"/>
          <w:sz w:val="32"/>
          <w:szCs w:val="32"/>
        </w:rPr>
        <w:t>年6月17日，我公司组织召开</w:t>
      </w:r>
      <w:r>
        <w:rPr>
          <w:rFonts w:hint="eastAsia" w:ascii="Times New Roman" w:hAnsi="Times New Roman" w:eastAsia="华文宋体"/>
          <w:kern w:val="0"/>
          <w:sz w:val="32"/>
          <w:szCs w:val="32"/>
        </w:rPr>
        <w:t>茂名市电白区粤熙银翡玻璃有限公司年加工17000平方米玻璃制品建设项目</w:t>
      </w:r>
      <w:r>
        <w:rPr>
          <w:rFonts w:ascii="Times New Roman" w:hAnsi="Times New Roman" w:eastAsia="华文宋体"/>
          <w:kern w:val="0"/>
          <w:sz w:val="32"/>
          <w:szCs w:val="32"/>
        </w:rPr>
        <w:t>竣工环境保护验收现场检查会。验收组成员有</w:t>
      </w:r>
      <w:r>
        <w:rPr>
          <w:rFonts w:hint="eastAsia" w:ascii="Times New Roman" w:hAnsi="Times New Roman" w:eastAsia="华文宋体"/>
          <w:kern w:val="0"/>
          <w:sz w:val="32"/>
          <w:szCs w:val="32"/>
        </w:rPr>
        <w:t>茂名市电白区粤熙银翡玻璃有限公司</w:t>
      </w:r>
      <w:r>
        <w:rPr>
          <w:rFonts w:ascii="Times New Roman" w:hAnsi="Times New Roman" w:eastAsia="华文宋体"/>
          <w:kern w:val="0"/>
          <w:sz w:val="32"/>
          <w:szCs w:val="32"/>
        </w:rPr>
        <w:t>（建设单位）、</w:t>
      </w:r>
      <w:r>
        <w:rPr>
          <w:rFonts w:hint="eastAsia" w:ascii="Times New Roman" w:hAnsi="Times New Roman" w:eastAsia="华文宋体"/>
          <w:kern w:val="0"/>
          <w:sz w:val="32"/>
          <w:szCs w:val="32"/>
        </w:rPr>
        <w:t>江门市信安环境监测检测有限公司</w:t>
      </w:r>
      <w:r>
        <w:rPr>
          <w:rFonts w:ascii="Times New Roman" w:hAnsi="Times New Roman" w:eastAsia="华文宋体"/>
          <w:kern w:val="0"/>
          <w:sz w:val="32"/>
          <w:szCs w:val="32"/>
        </w:rPr>
        <w:t xml:space="preserve">（验收监测单位）等代表，并特邀3名专家组成。验收组现场核实了本项目配套的废气、废水、噪声、固废环境保护设施的建设与运行情况，查阅了相关资料，并对照《建设项目竣工环境保护验收暂行办法》，严格依照国家有关法律法规、建设项目竣工环境保护验收技术规范及指南、本项目环境影响报告表和批复等，经认真讨论后形成了现场验收意见。验收意见如下：   </w:t>
      </w:r>
    </w:p>
    <w:p>
      <w:pPr>
        <w:pStyle w:val="26"/>
        <w:numPr>
          <w:ilvl w:val="0"/>
          <w:numId w:val="1"/>
        </w:numPr>
        <w:spacing w:line="360" w:lineRule="auto"/>
        <w:ind w:firstLineChars="0"/>
        <w:rPr>
          <w:rFonts w:ascii="Times New Roman" w:hAnsi="Times New Roman" w:eastAsia="华文宋体"/>
          <w:b/>
          <w:kern w:val="0"/>
          <w:sz w:val="32"/>
          <w:szCs w:val="32"/>
        </w:rPr>
      </w:pPr>
      <w:r>
        <w:rPr>
          <w:rFonts w:ascii="Times New Roman" w:hAnsi="Times New Roman" w:eastAsia="华文宋体"/>
          <w:b/>
          <w:kern w:val="0"/>
          <w:sz w:val="32"/>
          <w:szCs w:val="32"/>
        </w:rPr>
        <w:t>工程建设的基本情况</w:t>
      </w:r>
    </w:p>
    <w:p>
      <w:pPr>
        <w:spacing w:line="360" w:lineRule="auto"/>
        <w:ind w:firstLine="800" w:firstLineChars="250"/>
        <w:outlineLvl w:val="0"/>
        <w:rPr>
          <w:rFonts w:ascii="Times New Roman" w:hAnsi="Times New Roman" w:eastAsia="华文宋体"/>
          <w:b/>
          <w:kern w:val="0"/>
          <w:sz w:val="32"/>
          <w:szCs w:val="32"/>
        </w:rPr>
      </w:pPr>
      <w:r>
        <w:rPr>
          <w:rFonts w:ascii="Times New Roman" w:hAnsi="Times New Roman" w:eastAsia="华文宋体"/>
          <w:b/>
          <w:kern w:val="0"/>
          <w:sz w:val="32"/>
          <w:szCs w:val="32"/>
        </w:rPr>
        <w:t>（一）建设地点、规模、主要建设内容</w:t>
      </w:r>
    </w:p>
    <w:p>
      <w:pPr>
        <w:spacing w:line="360" w:lineRule="auto"/>
        <w:ind w:firstLine="800" w:firstLineChars="250"/>
        <w:rPr>
          <w:rFonts w:ascii="Times New Roman" w:hAnsi="Times New Roman" w:eastAsia="华文宋体"/>
          <w:kern w:val="0"/>
          <w:sz w:val="32"/>
          <w:szCs w:val="32"/>
        </w:rPr>
      </w:pPr>
      <w:r>
        <w:rPr>
          <w:rFonts w:hint="eastAsia" w:ascii="Times New Roman" w:hAnsi="Times New Roman" w:eastAsia="华文宋体"/>
          <w:kern w:val="0"/>
          <w:sz w:val="32"/>
          <w:szCs w:val="32"/>
        </w:rPr>
        <w:t>茂名市电白区粤熙银翡玻璃有限公司成立于2018 年，位于茂名市电白区电海街道创业路1号反哺工业园内（厂房一）</w:t>
      </w:r>
      <w:r>
        <w:rPr>
          <w:rFonts w:ascii="Times New Roman" w:hAnsi="Times New Roman" w:eastAsia="华文宋体"/>
          <w:kern w:val="0"/>
          <w:sz w:val="32"/>
          <w:szCs w:val="32"/>
        </w:rPr>
        <w:t>（</w:t>
      </w:r>
      <w:r>
        <w:rPr>
          <w:rFonts w:hint="eastAsia" w:ascii="Times New Roman" w:hAnsi="Times New Roman" w:eastAsia="华文宋体"/>
          <w:kern w:val="0"/>
          <w:sz w:val="32"/>
          <w:szCs w:val="32"/>
        </w:rPr>
        <w:t>中心</w:t>
      </w:r>
      <w:r>
        <w:rPr>
          <w:rFonts w:ascii="Times New Roman" w:hAnsi="Times New Roman" w:eastAsia="华文宋体"/>
          <w:kern w:val="0"/>
          <w:sz w:val="32"/>
          <w:szCs w:val="32"/>
        </w:rPr>
        <w:t>坐标为：21.5605</w:t>
      </w:r>
      <w:r>
        <w:rPr>
          <w:rFonts w:hint="eastAsia" w:ascii="Times New Roman" w:hAnsi="Times New Roman" w:eastAsia="华文宋体"/>
          <w:kern w:val="0"/>
          <w:sz w:val="32"/>
          <w:szCs w:val="32"/>
        </w:rPr>
        <w:t>ºN</w:t>
      </w:r>
      <w:r>
        <w:rPr>
          <w:rFonts w:ascii="Times New Roman" w:hAnsi="Times New Roman" w:eastAsia="华文宋体"/>
          <w:kern w:val="0"/>
          <w:sz w:val="32"/>
          <w:szCs w:val="32"/>
        </w:rPr>
        <w:t>、111.0418</w:t>
      </w:r>
      <w:r>
        <w:rPr>
          <w:rFonts w:hint="eastAsia" w:ascii="Times New Roman" w:hAnsi="Times New Roman" w:eastAsia="华文宋体"/>
          <w:kern w:val="0"/>
          <w:sz w:val="32"/>
          <w:szCs w:val="32"/>
        </w:rPr>
        <w:t>ºE</w:t>
      </w:r>
      <w:r>
        <w:rPr>
          <w:rFonts w:ascii="Times New Roman" w:hAnsi="Times New Roman" w:eastAsia="华文宋体"/>
          <w:kern w:val="0"/>
          <w:sz w:val="32"/>
          <w:szCs w:val="32"/>
        </w:rPr>
        <w:t>）</w:t>
      </w:r>
      <w:r>
        <w:rPr>
          <w:rFonts w:hint="eastAsia" w:ascii="Times New Roman" w:hAnsi="Times New Roman" w:eastAsia="华文宋体"/>
          <w:kern w:val="0"/>
          <w:sz w:val="32"/>
          <w:szCs w:val="32"/>
        </w:rPr>
        <w:t>。总建筑面积6120m</w:t>
      </w:r>
      <w:r>
        <w:rPr>
          <w:rFonts w:hint="eastAsia" w:ascii="Times New Roman" w:hAnsi="Times New Roman" w:eastAsia="华文宋体"/>
          <w:kern w:val="0"/>
          <w:sz w:val="32"/>
          <w:szCs w:val="32"/>
          <w:vertAlign w:val="superscript"/>
        </w:rPr>
        <w:t>2</w:t>
      </w:r>
      <w:r>
        <w:rPr>
          <w:rFonts w:hint="eastAsia" w:ascii="Times New Roman" w:hAnsi="Times New Roman" w:eastAsia="华文宋体"/>
          <w:kern w:val="0"/>
          <w:sz w:val="32"/>
          <w:szCs w:val="32"/>
        </w:rPr>
        <w:t>，项目主要从事玻璃加工的生产和销售。年产钢化玻璃10000m</w:t>
      </w:r>
      <w:r>
        <w:rPr>
          <w:rFonts w:hint="eastAsia" w:ascii="Times New Roman" w:hAnsi="Times New Roman" w:eastAsia="华文宋体"/>
          <w:kern w:val="0"/>
          <w:sz w:val="32"/>
          <w:szCs w:val="32"/>
          <w:vertAlign w:val="superscript"/>
        </w:rPr>
        <w:t>2</w:t>
      </w:r>
      <w:r>
        <w:rPr>
          <w:rFonts w:hint="eastAsia" w:ascii="Times New Roman" w:hAnsi="Times New Roman" w:eastAsia="华文宋体"/>
          <w:kern w:val="0"/>
          <w:sz w:val="32"/>
          <w:szCs w:val="32"/>
        </w:rPr>
        <w:t>、工艺玻璃3000m</w:t>
      </w:r>
      <w:r>
        <w:rPr>
          <w:rFonts w:hint="eastAsia" w:ascii="Times New Roman" w:hAnsi="Times New Roman" w:eastAsia="华文宋体"/>
          <w:kern w:val="0"/>
          <w:sz w:val="32"/>
          <w:szCs w:val="32"/>
          <w:vertAlign w:val="superscript"/>
        </w:rPr>
        <w:t>2</w:t>
      </w:r>
      <w:r>
        <w:rPr>
          <w:rFonts w:hint="eastAsia" w:ascii="Times New Roman" w:hAnsi="Times New Roman" w:eastAsia="华文宋体"/>
          <w:kern w:val="0"/>
          <w:sz w:val="32"/>
          <w:szCs w:val="32"/>
        </w:rPr>
        <w:t>、中空玻璃3000m</w:t>
      </w:r>
      <w:r>
        <w:rPr>
          <w:rFonts w:hint="eastAsia" w:ascii="Times New Roman" w:hAnsi="Times New Roman" w:eastAsia="华文宋体"/>
          <w:kern w:val="0"/>
          <w:sz w:val="32"/>
          <w:szCs w:val="32"/>
          <w:vertAlign w:val="superscript"/>
        </w:rPr>
        <w:t>2</w:t>
      </w:r>
      <w:r>
        <w:rPr>
          <w:rFonts w:hint="eastAsia" w:ascii="Times New Roman" w:hAnsi="Times New Roman" w:eastAsia="华文宋体"/>
          <w:kern w:val="0"/>
          <w:sz w:val="32"/>
          <w:szCs w:val="32"/>
        </w:rPr>
        <w:t>、夹胶玻璃1000m</w:t>
      </w:r>
      <w:r>
        <w:rPr>
          <w:rFonts w:hint="eastAsia" w:ascii="Times New Roman" w:hAnsi="Times New Roman" w:eastAsia="华文宋体"/>
          <w:kern w:val="0"/>
          <w:sz w:val="32"/>
          <w:szCs w:val="32"/>
          <w:vertAlign w:val="superscript"/>
        </w:rPr>
        <w:t>2</w:t>
      </w:r>
      <w:r>
        <w:rPr>
          <w:rFonts w:ascii="Times New Roman" w:hAnsi="Times New Roman" w:eastAsia="华文宋体"/>
          <w:kern w:val="0"/>
          <w:sz w:val="32"/>
          <w:szCs w:val="32"/>
        </w:rPr>
        <w:t>。</w:t>
      </w:r>
    </w:p>
    <w:p>
      <w:pPr>
        <w:spacing w:line="360" w:lineRule="auto"/>
        <w:ind w:firstLine="800" w:firstLineChars="250"/>
        <w:outlineLvl w:val="0"/>
        <w:rPr>
          <w:rFonts w:ascii="Times New Roman" w:hAnsi="Times New Roman" w:eastAsia="华文宋体"/>
          <w:b/>
          <w:kern w:val="0"/>
          <w:sz w:val="32"/>
          <w:szCs w:val="32"/>
        </w:rPr>
      </w:pPr>
      <w:r>
        <w:rPr>
          <w:rFonts w:ascii="Times New Roman" w:hAnsi="Times New Roman" w:eastAsia="华文宋体"/>
          <w:b/>
          <w:kern w:val="0"/>
          <w:sz w:val="32"/>
          <w:szCs w:val="32"/>
        </w:rPr>
        <w:t>（二）建设过程及环保审批情况</w:t>
      </w:r>
    </w:p>
    <w:p>
      <w:pPr>
        <w:spacing w:line="360" w:lineRule="auto"/>
        <w:ind w:firstLine="800" w:firstLineChars="250"/>
        <w:rPr>
          <w:rFonts w:ascii="Times New Roman" w:hAnsi="Times New Roman" w:eastAsia="华文宋体"/>
          <w:kern w:val="0"/>
          <w:sz w:val="32"/>
          <w:szCs w:val="32"/>
        </w:rPr>
      </w:pPr>
      <w:r>
        <w:rPr>
          <w:rFonts w:ascii="Times New Roman" w:hAnsi="Times New Roman" w:eastAsia="华文宋体"/>
          <w:kern w:val="0"/>
          <w:sz w:val="32"/>
          <w:szCs w:val="32"/>
        </w:rPr>
        <w:t>茂名市电白区粤熙银翡玻璃有限公司201</w:t>
      </w:r>
      <w:r>
        <w:rPr>
          <w:rFonts w:hint="eastAsia" w:ascii="Times New Roman" w:hAnsi="Times New Roman" w:eastAsia="华文宋体"/>
          <w:kern w:val="0"/>
          <w:sz w:val="32"/>
          <w:szCs w:val="32"/>
        </w:rPr>
        <w:t>9</w:t>
      </w:r>
      <w:r>
        <w:rPr>
          <w:rFonts w:ascii="Times New Roman" w:hAnsi="Times New Roman" w:eastAsia="华文宋体"/>
          <w:kern w:val="0"/>
          <w:sz w:val="32"/>
          <w:szCs w:val="32"/>
        </w:rPr>
        <w:t>年</w:t>
      </w:r>
      <w:r>
        <w:rPr>
          <w:rFonts w:hint="eastAsia" w:ascii="Times New Roman" w:hAnsi="Times New Roman" w:eastAsia="华文宋体"/>
          <w:kern w:val="0"/>
          <w:sz w:val="32"/>
          <w:szCs w:val="32"/>
        </w:rPr>
        <w:t>1</w:t>
      </w:r>
      <w:r>
        <w:rPr>
          <w:rFonts w:ascii="Times New Roman" w:hAnsi="Times New Roman" w:eastAsia="华文宋体"/>
          <w:kern w:val="0"/>
          <w:sz w:val="32"/>
          <w:szCs w:val="32"/>
        </w:rPr>
        <w:t>月委托环评公司编制《茂名市电白区粤熙银翡玻璃有限公司年加工17000平方米玻璃制品建设项目环境影响报告表》， 2019年2月28日获得环评批复《关于茂名市电白区粤熙银翡玻璃有限公司年加工17000平方米玻璃制品建设项目环境影响报告表的批复》（电环建[2019]10号）。</w:t>
      </w:r>
    </w:p>
    <w:p>
      <w:pPr>
        <w:spacing w:line="360" w:lineRule="auto"/>
        <w:ind w:firstLine="800" w:firstLineChars="250"/>
        <w:rPr>
          <w:rFonts w:ascii="Times New Roman" w:hAnsi="Times New Roman" w:eastAsia="华文宋体"/>
          <w:kern w:val="0"/>
          <w:sz w:val="32"/>
          <w:szCs w:val="32"/>
        </w:rPr>
      </w:pPr>
      <w:r>
        <w:rPr>
          <w:rFonts w:ascii="Times New Roman" w:hAnsi="Times New Roman" w:eastAsia="华文宋体"/>
          <w:kern w:val="0"/>
          <w:sz w:val="32"/>
          <w:szCs w:val="32"/>
        </w:rPr>
        <w:t>202</w:t>
      </w:r>
      <w:r>
        <w:rPr>
          <w:rFonts w:hint="eastAsia" w:ascii="Times New Roman" w:hAnsi="Times New Roman" w:eastAsia="华文宋体"/>
          <w:kern w:val="0"/>
          <w:sz w:val="32"/>
          <w:szCs w:val="32"/>
        </w:rPr>
        <w:t>4</w:t>
      </w:r>
      <w:r>
        <w:rPr>
          <w:rFonts w:ascii="Times New Roman" w:hAnsi="Times New Roman" w:eastAsia="华文宋体"/>
          <w:kern w:val="0"/>
          <w:sz w:val="32"/>
          <w:szCs w:val="32"/>
        </w:rPr>
        <w:t>年</w:t>
      </w:r>
      <w:r>
        <w:rPr>
          <w:rFonts w:hint="eastAsia" w:ascii="Times New Roman" w:hAnsi="Times New Roman" w:eastAsia="华文宋体"/>
          <w:kern w:val="0"/>
          <w:sz w:val="32"/>
          <w:szCs w:val="32"/>
        </w:rPr>
        <w:t>4</w:t>
      </w:r>
      <w:r>
        <w:rPr>
          <w:rFonts w:ascii="Times New Roman" w:hAnsi="Times New Roman" w:eastAsia="华文宋体"/>
          <w:kern w:val="0"/>
          <w:sz w:val="32"/>
          <w:szCs w:val="32"/>
        </w:rPr>
        <w:t>月，</w:t>
      </w:r>
      <w:r>
        <w:rPr>
          <w:rFonts w:hint="eastAsia" w:ascii="Times New Roman" w:hAnsi="Times New Roman" w:eastAsia="华文宋体"/>
          <w:kern w:val="0"/>
          <w:sz w:val="32"/>
          <w:szCs w:val="32"/>
        </w:rPr>
        <w:t>茂名市电白区粤熙银翡玻璃有限公司</w:t>
      </w:r>
      <w:r>
        <w:rPr>
          <w:rFonts w:ascii="Times New Roman" w:hAnsi="Times New Roman" w:eastAsia="华文宋体"/>
          <w:kern w:val="0"/>
          <w:sz w:val="32"/>
          <w:szCs w:val="32"/>
        </w:rPr>
        <w:t>委托</w:t>
      </w:r>
      <w:r>
        <w:rPr>
          <w:rFonts w:hint="eastAsia" w:ascii="Times New Roman" w:hAnsi="Times New Roman" w:eastAsia="华文宋体"/>
          <w:kern w:val="0"/>
          <w:sz w:val="32"/>
          <w:szCs w:val="32"/>
        </w:rPr>
        <w:t>江门市信安环境监测检测有限公司</w:t>
      </w:r>
      <w:r>
        <w:rPr>
          <w:rFonts w:ascii="Times New Roman" w:hAnsi="Times New Roman" w:eastAsia="华文宋体"/>
          <w:kern w:val="0"/>
          <w:sz w:val="32"/>
          <w:szCs w:val="32"/>
        </w:rPr>
        <w:t>开展验收监测工作，根据监测结果，</w:t>
      </w:r>
      <w:r>
        <w:rPr>
          <w:rFonts w:hint="eastAsia" w:ascii="Times New Roman" w:hAnsi="Times New Roman" w:eastAsia="华文宋体"/>
          <w:kern w:val="0"/>
          <w:sz w:val="32"/>
          <w:szCs w:val="32"/>
        </w:rPr>
        <w:t>茂名市电白区粤熙银翡玻璃有限公司</w:t>
      </w:r>
      <w:r>
        <w:rPr>
          <w:rFonts w:ascii="Times New Roman" w:hAnsi="Times New Roman" w:eastAsia="华文宋体"/>
          <w:kern w:val="0"/>
          <w:sz w:val="32"/>
          <w:szCs w:val="32"/>
        </w:rPr>
        <w:t>编制本验收监测报告。</w:t>
      </w:r>
    </w:p>
    <w:p>
      <w:pPr>
        <w:spacing w:line="360" w:lineRule="auto"/>
        <w:ind w:firstLine="800" w:firstLineChars="250"/>
        <w:outlineLvl w:val="0"/>
        <w:rPr>
          <w:rFonts w:ascii="Times New Roman" w:hAnsi="Times New Roman" w:eastAsia="华文宋体"/>
          <w:b/>
          <w:kern w:val="0"/>
          <w:sz w:val="32"/>
          <w:szCs w:val="32"/>
        </w:rPr>
      </w:pPr>
      <w:r>
        <w:rPr>
          <w:rFonts w:ascii="Times New Roman" w:hAnsi="Times New Roman" w:eastAsia="华文宋体"/>
          <w:b/>
          <w:kern w:val="0"/>
          <w:sz w:val="32"/>
          <w:szCs w:val="32"/>
        </w:rPr>
        <w:t>（三）投资情况</w:t>
      </w:r>
    </w:p>
    <w:p>
      <w:pPr>
        <w:spacing w:line="360" w:lineRule="auto"/>
        <w:ind w:firstLine="800" w:firstLineChars="250"/>
        <w:rPr>
          <w:rFonts w:ascii="Times New Roman" w:hAnsi="Times New Roman" w:eastAsia="华文宋体"/>
          <w:kern w:val="0"/>
          <w:sz w:val="32"/>
          <w:szCs w:val="32"/>
        </w:rPr>
      </w:pPr>
      <w:r>
        <w:rPr>
          <w:rFonts w:ascii="Times New Roman" w:hAnsi="Times New Roman" w:eastAsia="华文宋体"/>
          <w:kern w:val="0"/>
          <w:sz w:val="32"/>
          <w:szCs w:val="32"/>
        </w:rPr>
        <w:t>项目工程实际总投资</w:t>
      </w:r>
      <w:r>
        <w:rPr>
          <w:rFonts w:hint="eastAsia" w:ascii="Times New Roman" w:hAnsi="Times New Roman" w:eastAsia="华文宋体"/>
          <w:kern w:val="0"/>
          <w:sz w:val="32"/>
          <w:szCs w:val="32"/>
        </w:rPr>
        <w:t>100</w:t>
      </w:r>
      <w:r>
        <w:rPr>
          <w:rFonts w:ascii="Times New Roman" w:hAnsi="Times New Roman" w:eastAsia="华文宋体"/>
          <w:kern w:val="0"/>
          <w:sz w:val="32"/>
          <w:szCs w:val="32"/>
        </w:rPr>
        <w:t>万元，环保投资</w:t>
      </w:r>
      <w:r>
        <w:rPr>
          <w:rFonts w:hint="eastAsia" w:ascii="Times New Roman" w:hAnsi="Times New Roman" w:eastAsia="华文宋体"/>
          <w:kern w:val="0"/>
          <w:sz w:val="32"/>
          <w:szCs w:val="32"/>
        </w:rPr>
        <w:t>10</w:t>
      </w:r>
      <w:r>
        <w:rPr>
          <w:rFonts w:ascii="Times New Roman" w:hAnsi="Times New Roman" w:eastAsia="华文宋体"/>
          <w:kern w:val="0"/>
          <w:sz w:val="32"/>
          <w:szCs w:val="32"/>
        </w:rPr>
        <w:t>万元，占总投资的</w:t>
      </w:r>
      <w:r>
        <w:rPr>
          <w:rFonts w:hint="eastAsia" w:ascii="Times New Roman" w:hAnsi="Times New Roman" w:eastAsia="华文宋体"/>
          <w:kern w:val="0"/>
          <w:sz w:val="32"/>
          <w:szCs w:val="32"/>
        </w:rPr>
        <w:t>10</w:t>
      </w:r>
      <w:r>
        <w:rPr>
          <w:rFonts w:ascii="Times New Roman" w:hAnsi="Times New Roman" w:eastAsia="华文宋体"/>
          <w:kern w:val="0"/>
          <w:sz w:val="32"/>
          <w:szCs w:val="32"/>
        </w:rPr>
        <w:t>%。</w:t>
      </w:r>
    </w:p>
    <w:p>
      <w:pPr>
        <w:spacing w:line="360" w:lineRule="auto"/>
        <w:ind w:firstLine="800" w:firstLineChars="250"/>
        <w:outlineLvl w:val="0"/>
        <w:rPr>
          <w:rFonts w:ascii="Times New Roman" w:hAnsi="Times New Roman" w:eastAsia="华文宋体"/>
          <w:b/>
          <w:kern w:val="0"/>
          <w:sz w:val="32"/>
          <w:szCs w:val="32"/>
        </w:rPr>
      </w:pPr>
      <w:r>
        <w:rPr>
          <w:rFonts w:ascii="Times New Roman" w:hAnsi="Times New Roman" w:eastAsia="华文宋体"/>
          <w:b/>
          <w:kern w:val="0"/>
          <w:sz w:val="32"/>
          <w:szCs w:val="32"/>
        </w:rPr>
        <w:t>（四）验收范围</w:t>
      </w:r>
    </w:p>
    <w:p>
      <w:pPr>
        <w:spacing w:line="360" w:lineRule="auto"/>
        <w:ind w:firstLine="800" w:firstLineChars="250"/>
        <w:rPr>
          <w:rFonts w:ascii="Times New Roman" w:hAnsi="Times New Roman" w:eastAsia="华文宋体"/>
          <w:kern w:val="0"/>
          <w:sz w:val="32"/>
          <w:szCs w:val="32"/>
        </w:rPr>
      </w:pPr>
      <w:r>
        <w:rPr>
          <w:rFonts w:ascii="Times New Roman" w:hAnsi="Times New Roman" w:eastAsia="华文宋体"/>
          <w:kern w:val="0"/>
          <w:sz w:val="32"/>
          <w:szCs w:val="32"/>
        </w:rPr>
        <w:t>本次验收范围为废气、废水、噪声、固废治理设施。涉及辐射的，不包括在本次验收范围内。</w:t>
      </w:r>
    </w:p>
    <w:p>
      <w:pPr>
        <w:pStyle w:val="26"/>
        <w:numPr>
          <w:ilvl w:val="0"/>
          <w:numId w:val="1"/>
        </w:numPr>
        <w:spacing w:line="360" w:lineRule="auto"/>
        <w:ind w:firstLineChars="0"/>
        <w:rPr>
          <w:rFonts w:ascii="Times New Roman" w:hAnsi="Times New Roman" w:eastAsia="华文宋体"/>
          <w:b/>
          <w:kern w:val="0"/>
          <w:sz w:val="32"/>
          <w:szCs w:val="32"/>
        </w:rPr>
      </w:pPr>
      <w:r>
        <w:rPr>
          <w:rFonts w:ascii="Times New Roman" w:hAnsi="Times New Roman" w:eastAsia="华文宋体"/>
          <w:b/>
          <w:kern w:val="0"/>
          <w:sz w:val="32"/>
          <w:szCs w:val="32"/>
        </w:rPr>
        <w:t>项目变更有关情况</w:t>
      </w:r>
    </w:p>
    <w:p>
      <w:pPr>
        <w:spacing w:line="360" w:lineRule="auto"/>
        <w:ind w:firstLine="800" w:firstLineChars="250"/>
        <w:rPr>
          <w:rFonts w:ascii="Times New Roman" w:hAnsi="Times New Roman" w:eastAsia="华文宋体"/>
          <w:kern w:val="0"/>
          <w:sz w:val="32"/>
          <w:szCs w:val="32"/>
        </w:rPr>
      </w:pPr>
      <w:r>
        <w:rPr>
          <w:rFonts w:ascii="Times New Roman" w:hAnsi="Times New Roman" w:eastAsia="华文宋体"/>
          <w:kern w:val="0"/>
          <w:sz w:val="32"/>
          <w:szCs w:val="32"/>
        </w:rPr>
        <w:t>（1）项目暂不设厨房</w:t>
      </w:r>
      <w:r>
        <w:rPr>
          <w:rFonts w:hint="eastAsia" w:ascii="Times New Roman" w:hAnsi="Times New Roman" w:eastAsia="华文宋体"/>
          <w:kern w:val="0"/>
          <w:sz w:val="32"/>
          <w:szCs w:val="32"/>
        </w:rPr>
        <w:t>，</w:t>
      </w:r>
      <w:r>
        <w:rPr>
          <w:rFonts w:ascii="Times New Roman" w:hAnsi="Times New Roman" w:eastAsia="华文宋体"/>
          <w:kern w:val="0"/>
          <w:sz w:val="32"/>
          <w:szCs w:val="32"/>
        </w:rPr>
        <w:t>本次验收</w:t>
      </w:r>
      <w:r>
        <w:rPr>
          <w:rFonts w:hint="eastAsia" w:ascii="Times New Roman" w:hAnsi="Times New Roman" w:eastAsia="华文宋体"/>
          <w:kern w:val="0"/>
          <w:sz w:val="32"/>
          <w:szCs w:val="32"/>
        </w:rPr>
        <w:t>不</w:t>
      </w:r>
      <w:r>
        <w:rPr>
          <w:rFonts w:ascii="Times New Roman" w:hAnsi="Times New Roman" w:eastAsia="华文宋体"/>
          <w:kern w:val="0"/>
          <w:sz w:val="32"/>
          <w:szCs w:val="32"/>
        </w:rPr>
        <w:t>包括</w:t>
      </w:r>
      <w:r>
        <w:rPr>
          <w:rFonts w:hint="eastAsia" w:ascii="Times New Roman" w:hAnsi="Times New Roman" w:eastAsia="华文宋体"/>
          <w:kern w:val="0"/>
          <w:sz w:val="32"/>
          <w:szCs w:val="32"/>
        </w:rPr>
        <w:t>该</w:t>
      </w:r>
      <w:r>
        <w:rPr>
          <w:rFonts w:ascii="Times New Roman" w:hAnsi="Times New Roman" w:eastAsia="华文宋体"/>
          <w:kern w:val="0"/>
          <w:sz w:val="32"/>
          <w:szCs w:val="32"/>
        </w:rPr>
        <w:t>部分；</w:t>
      </w:r>
    </w:p>
    <w:p>
      <w:pPr>
        <w:spacing w:line="360" w:lineRule="auto"/>
        <w:ind w:firstLine="800" w:firstLineChars="250"/>
        <w:rPr>
          <w:rFonts w:ascii="Times New Roman" w:hAnsi="Times New Roman" w:eastAsia="华文宋体"/>
          <w:kern w:val="0"/>
          <w:sz w:val="32"/>
          <w:szCs w:val="32"/>
        </w:rPr>
      </w:pPr>
      <w:r>
        <w:rPr>
          <w:rFonts w:ascii="Times New Roman" w:hAnsi="Times New Roman" w:eastAsia="华文宋体"/>
          <w:kern w:val="0"/>
          <w:sz w:val="32"/>
          <w:szCs w:val="32"/>
        </w:rPr>
        <w:t>（2）现阶段园区污水处理厂（安乐水质净化厂）及管网已建成，故厂区废水执行广东省地方标准《水污染物排放限值》（DB 44/26-2001）中第二时段三级标准限值及反哺片区企业废水排放浓度限值（即安乐水质净化厂要求进水水质标准）的较严值</w:t>
      </w:r>
      <w:r>
        <w:rPr>
          <w:rFonts w:hint="eastAsia" w:ascii="Times New Roman" w:hAnsi="Times New Roman" w:eastAsia="华文宋体"/>
          <w:kern w:val="0"/>
          <w:sz w:val="32"/>
          <w:szCs w:val="32"/>
        </w:rPr>
        <w:t>（企业</w:t>
      </w:r>
      <w:r>
        <w:rPr>
          <w:rFonts w:ascii="Times New Roman" w:hAnsi="Times New Roman" w:eastAsia="华文宋体"/>
          <w:kern w:val="0"/>
          <w:sz w:val="32"/>
          <w:szCs w:val="32"/>
        </w:rPr>
        <w:t>进入园区管网</w:t>
      </w:r>
      <w:r>
        <w:rPr>
          <w:rFonts w:hint="eastAsia" w:ascii="Times New Roman" w:hAnsi="Times New Roman" w:eastAsia="华文宋体"/>
          <w:kern w:val="0"/>
          <w:sz w:val="32"/>
          <w:szCs w:val="32"/>
        </w:rPr>
        <w:t>的</w:t>
      </w:r>
      <w:r>
        <w:rPr>
          <w:rFonts w:ascii="Times New Roman" w:hAnsi="Times New Roman" w:eastAsia="华文宋体"/>
          <w:kern w:val="0"/>
          <w:sz w:val="32"/>
          <w:szCs w:val="32"/>
        </w:rPr>
        <w:t>生活污水浓度</w:t>
      </w:r>
      <w:r>
        <w:rPr>
          <w:rFonts w:hint="eastAsia" w:ascii="Times New Roman" w:hAnsi="Times New Roman" w:eastAsia="华文宋体"/>
          <w:kern w:val="0"/>
          <w:sz w:val="32"/>
          <w:szCs w:val="32"/>
        </w:rPr>
        <w:t>已</w:t>
      </w:r>
      <w:r>
        <w:rPr>
          <w:rFonts w:ascii="Times New Roman" w:hAnsi="Times New Roman" w:eastAsia="华文宋体"/>
          <w:kern w:val="0"/>
          <w:sz w:val="32"/>
          <w:szCs w:val="32"/>
        </w:rPr>
        <w:t>达到</w:t>
      </w:r>
      <w:r>
        <w:rPr>
          <w:rFonts w:hint="eastAsia" w:ascii="Times New Roman" w:hAnsi="Times New Roman" w:eastAsia="华文宋体"/>
          <w:kern w:val="0"/>
          <w:sz w:val="32"/>
          <w:szCs w:val="32"/>
        </w:rPr>
        <w:t>环评</w:t>
      </w:r>
      <w:r>
        <w:rPr>
          <w:rFonts w:ascii="Times New Roman" w:hAnsi="Times New Roman" w:eastAsia="华文宋体"/>
          <w:kern w:val="0"/>
          <w:sz w:val="32"/>
          <w:szCs w:val="32"/>
        </w:rPr>
        <w:t>及其批复要求</w:t>
      </w:r>
      <w:r>
        <w:rPr>
          <w:rFonts w:hint="eastAsia" w:ascii="Times New Roman" w:hAnsi="Times New Roman" w:eastAsia="华文宋体"/>
          <w:kern w:val="0"/>
          <w:sz w:val="32"/>
          <w:szCs w:val="32"/>
        </w:rPr>
        <w:t>，</w:t>
      </w:r>
      <w:r>
        <w:rPr>
          <w:rFonts w:ascii="Times New Roman" w:hAnsi="Times New Roman" w:eastAsia="华文宋体"/>
          <w:kern w:val="0"/>
          <w:sz w:val="32"/>
          <w:szCs w:val="32"/>
        </w:rPr>
        <w:t>无需</w:t>
      </w:r>
      <w:r>
        <w:rPr>
          <w:rFonts w:hint="eastAsia" w:ascii="Times New Roman" w:hAnsi="Times New Roman" w:eastAsia="华文宋体"/>
          <w:kern w:val="0"/>
          <w:sz w:val="32"/>
          <w:szCs w:val="32"/>
        </w:rPr>
        <w:t>再</w:t>
      </w:r>
      <w:r>
        <w:rPr>
          <w:rFonts w:ascii="Times New Roman" w:hAnsi="Times New Roman" w:eastAsia="华文宋体"/>
          <w:kern w:val="0"/>
          <w:sz w:val="32"/>
          <w:szCs w:val="32"/>
        </w:rPr>
        <w:t>自建</w:t>
      </w:r>
      <w:r>
        <w:rPr>
          <w:rFonts w:hint="eastAsia" w:ascii="Times New Roman" w:hAnsi="Times New Roman" w:eastAsia="华文宋体"/>
          <w:kern w:val="0"/>
          <w:sz w:val="32"/>
          <w:szCs w:val="32"/>
        </w:rPr>
        <w:t>一体化污水处理设备</w:t>
      </w:r>
      <w:r>
        <w:rPr>
          <w:rFonts w:ascii="Times New Roman" w:hAnsi="Times New Roman" w:eastAsia="华文宋体"/>
          <w:kern w:val="0"/>
          <w:sz w:val="32"/>
          <w:szCs w:val="32"/>
        </w:rPr>
        <w:t>）。</w:t>
      </w:r>
    </w:p>
    <w:p>
      <w:pPr>
        <w:spacing w:line="360" w:lineRule="auto"/>
        <w:ind w:firstLine="800" w:firstLineChars="250"/>
        <w:rPr>
          <w:rFonts w:ascii="Times New Roman" w:hAnsi="Times New Roman" w:eastAsia="华文宋体"/>
          <w:kern w:val="0"/>
          <w:sz w:val="32"/>
          <w:szCs w:val="32"/>
        </w:rPr>
      </w:pPr>
      <w:r>
        <w:rPr>
          <w:rFonts w:hint="eastAsia" w:ascii="Times New Roman" w:hAnsi="Times New Roman" w:eastAsia="华文宋体"/>
          <w:kern w:val="0"/>
          <w:sz w:val="32"/>
          <w:szCs w:val="32"/>
        </w:rPr>
        <w:t>本项目其他的性质、规模、地点、采用的生产工艺和防治污染的措施均与环境影响报告表及审批内容基本一致，无重大变动内容</w:t>
      </w:r>
      <w:r>
        <w:rPr>
          <w:rFonts w:ascii="Times New Roman" w:hAnsi="Times New Roman" w:eastAsia="华文宋体"/>
          <w:kern w:val="0"/>
          <w:sz w:val="32"/>
          <w:szCs w:val="32"/>
        </w:rPr>
        <w:t>。</w:t>
      </w:r>
    </w:p>
    <w:p>
      <w:pPr>
        <w:pStyle w:val="26"/>
        <w:widowControl/>
        <w:numPr>
          <w:ilvl w:val="0"/>
          <w:numId w:val="1"/>
        </w:numPr>
        <w:spacing w:line="360" w:lineRule="auto"/>
        <w:ind w:left="0" w:firstLine="851" w:firstLineChars="0"/>
        <w:jc w:val="left"/>
        <w:rPr>
          <w:rFonts w:ascii="Times New Roman" w:hAnsi="Times New Roman" w:eastAsia="华文宋体"/>
          <w:b/>
          <w:kern w:val="0"/>
          <w:sz w:val="32"/>
          <w:szCs w:val="32"/>
        </w:rPr>
      </w:pPr>
      <w:r>
        <w:rPr>
          <w:rFonts w:ascii="Times New Roman" w:hAnsi="Times New Roman" w:eastAsia="华文宋体"/>
          <w:b/>
          <w:kern w:val="0"/>
          <w:sz w:val="32"/>
          <w:szCs w:val="32"/>
        </w:rPr>
        <w:t>废气、废水、噪声、固废环境保护措施及环境风险防范措施落实情况</w:t>
      </w:r>
    </w:p>
    <w:p>
      <w:pPr>
        <w:spacing w:line="360" w:lineRule="auto"/>
        <w:ind w:firstLine="800" w:firstLineChars="250"/>
        <w:outlineLvl w:val="0"/>
        <w:rPr>
          <w:rFonts w:ascii="Times New Roman" w:hAnsi="Times New Roman" w:eastAsia="华文宋体"/>
          <w:b/>
          <w:kern w:val="0"/>
          <w:sz w:val="32"/>
          <w:szCs w:val="32"/>
        </w:rPr>
      </w:pPr>
      <w:r>
        <w:rPr>
          <w:rFonts w:ascii="Times New Roman" w:hAnsi="Times New Roman" w:eastAsia="华文宋体"/>
          <w:b/>
          <w:kern w:val="0"/>
          <w:sz w:val="32"/>
          <w:szCs w:val="32"/>
        </w:rPr>
        <w:t>（一）废气排放情况及治理措施</w:t>
      </w:r>
    </w:p>
    <w:p>
      <w:pPr>
        <w:spacing w:line="360" w:lineRule="auto"/>
        <w:ind w:firstLine="800" w:firstLineChars="250"/>
        <w:rPr>
          <w:rFonts w:ascii="Times New Roman" w:hAnsi="Times New Roman" w:eastAsia="华文宋体"/>
          <w:kern w:val="0"/>
          <w:sz w:val="32"/>
          <w:szCs w:val="32"/>
        </w:rPr>
      </w:pPr>
      <w:r>
        <w:rPr>
          <w:rFonts w:ascii="Times New Roman" w:hAnsi="Times New Roman" w:eastAsia="华文宋体"/>
          <w:kern w:val="0"/>
          <w:sz w:val="32"/>
          <w:szCs w:val="32"/>
        </w:rPr>
        <w:t>排放情况：本项目主要废气为有机废气，产生工序为中空、夹胶工序。</w:t>
      </w:r>
    </w:p>
    <w:p>
      <w:pPr>
        <w:spacing w:line="360" w:lineRule="auto"/>
        <w:ind w:firstLine="800" w:firstLineChars="250"/>
        <w:rPr>
          <w:rFonts w:ascii="Times New Roman" w:hAnsi="Times New Roman" w:eastAsia="华文宋体"/>
          <w:kern w:val="0"/>
          <w:sz w:val="32"/>
          <w:szCs w:val="32"/>
        </w:rPr>
      </w:pPr>
      <w:r>
        <w:rPr>
          <w:rFonts w:ascii="Times New Roman" w:hAnsi="Times New Roman" w:eastAsia="华文宋体"/>
          <w:kern w:val="0"/>
          <w:sz w:val="32"/>
          <w:szCs w:val="32"/>
        </w:rPr>
        <w:t>废气治理：项目在密封工位上方分别安装集气罩和机械抽排风装置，将废气集中收集后经UV光解处理后通过排气筒高空排放。</w:t>
      </w:r>
    </w:p>
    <w:p>
      <w:pPr>
        <w:spacing w:line="360" w:lineRule="auto"/>
        <w:ind w:firstLine="800" w:firstLineChars="250"/>
        <w:outlineLvl w:val="0"/>
        <w:rPr>
          <w:rFonts w:ascii="Times New Roman" w:hAnsi="Times New Roman" w:eastAsia="华文宋体"/>
          <w:b/>
          <w:kern w:val="0"/>
          <w:sz w:val="32"/>
          <w:szCs w:val="32"/>
        </w:rPr>
      </w:pPr>
      <w:r>
        <w:rPr>
          <w:rFonts w:ascii="Times New Roman" w:hAnsi="Times New Roman" w:eastAsia="华文宋体"/>
          <w:b/>
          <w:kern w:val="0"/>
          <w:sz w:val="32"/>
          <w:szCs w:val="32"/>
        </w:rPr>
        <w:t>（二）废水排放情况及治理措施</w:t>
      </w:r>
    </w:p>
    <w:p>
      <w:pPr>
        <w:spacing w:line="360" w:lineRule="auto"/>
        <w:ind w:firstLine="800" w:firstLineChars="250"/>
        <w:rPr>
          <w:rFonts w:ascii="Times New Roman" w:hAnsi="Times New Roman" w:eastAsia="华文宋体"/>
          <w:kern w:val="0"/>
          <w:sz w:val="32"/>
          <w:szCs w:val="32"/>
        </w:rPr>
      </w:pPr>
      <w:r>
        <w:rPr>
          <w:rFonts w:ascii="Times New Roman" w:hAnsi="Times New Roman" w:eastAsia="华文宋体"/>
          <w:kern w:val="0"/>
          <w:sz w:val="32"/>
          <w:szCs w:val="32"/>
        </w:rPr>
        <w:t>排放情况：</w:t>
      </w:r>
      <w:r>
        <w:rPr>
          <w:rFonts w:hint="eastAsia" w:ascii="Times New Roman" w:hAnsi="Times New Roman" w:eastAsia="华文宋体"/>
          <w:kern w:val="0"/>
          <w:sz w:val="32"/>
          <w:szCs w:val="32"/>
        </w:rPr>
        <w:t>本项目废水主要包括清洗废水和生活污水。</w:t>
      </w:r>
    </w:p>
    <w:p>
      <w:pPr>
        <w:spacing w:line="360" w:lineRule="auto"/>
        <w:ind w:firstLine="800" w:firstLineChars="250"/>
        <w:rPr>
          <w:rFonts w:ascii="Times New Roman" w:hAnsi="Times New Roman" w:eastAsia="华文宋体"/>
          <w:kern w:val="0"/>
          <w:sz w:val="32"/>
          <w:szCs w:val="32"/>
        </w:rPr>
      </w:pPr>
      <w:r>
        <w:rPr>
          <w:rFonts w:ascii="Times New Roman" w:hAnsi="Times New Roman" w:eastAsia="华文宋体"/>
          <w:kern w:val="0"/>
          <w:sz w:val="32"/>
          <w:szCs w:val="32"/>
        </w:rPr>
        <w:t>治理措施：本项目清洗废水经沉淀池处理后，上清液全部回用于磨边、雕刻工序添加水，沉淀的玻璃碎屑交由专业公司回收，清洗水不外排。由于磨边、钻孔工序用水主要为了确保加工过程不产生粉尘，因此对回用水质要求不高。</w:t>
      </w:r>
    </w:p>
    <w:p>
      <w:pPr>
        <w:spacing w:line="360" w:lineRule="auto"/>
        <w:ind w:firstLine="800" w:firstLineChars="250"/>
        <w:rPr>
          <w:rFonts w:ascii="Times New Roman" w:hAnsi="Times New Roman" w:eastAsia="华文宋体"/>
          <w:kern w:val="0"/>
          <w:sz w:val="32"/>
          <w:szCs w:val="32"/>
        </w:rPr>
      </w:pPr>
      <w:r>
        <w:rPr>
          <w:rFonts w:ascii="Times New Roman" w:hAnsi="Times New Roman" w:eastAsia="华文宋体"/>
          <w:kern w:val="0"/>
          <w:sz w:val="32"/>
          <w:szCs w:val="32"/>
        </w:rPr>
        <w:t>本项目生活污水经三级化粪池处理后进入园区纳污管网，再进入安乐水质净化厂处理达标后再排放。</w:t>
      </w:r>
    </w:p>
    <w:p>
      <w:pPr>
        <w:spacing w:line="360" w:lineRule="auto"/>
        <w:ind w:firstLine="800" w:firstLineChars="250"/>
        <w:outlineLvl w:val="0"/>
        <w:rPr>
          <w:rFonts w:ascii="Times New Roman" w:hAnsi="Times New Roman" w:eastAsia="华文宋体"/>
          <w:b/>
          <w:kern w:val="0"/>
          <w:sz w:val="32"/>
          <w:szCs w:val="32"/>
        </w:rPr>
      </w:pPr>
      <w:r>
        <w:rPr>
          <w:rFonts w:ascii="Times New Roman" w:hAnsi="Times New Roman" w:eastAsia="华文宋体"/>
          <w:b/>
          <w:kern w:val="0"/>
          <w:sz w:val="32"/>
          <w:szCs w:val="32"/>
        </w:rPr>
        <w:t>（三）噪声排放情况及治理措施</w:t>
      </w:r>
    </w:p>
    <w:p>
      <w:pPr>
        <w:spacing w:line="360" w:lineRule="auto"/>
        <w:ind w:firstLine="800" w:firstLineChars="250"/>
        <w:rPr>
          <w:rFonts w:ascii="Times New Roman" w:hAnsi="Times New Roman" w:eastAsia="华文宋体"/>
          <w:kern w:val="0"/>
          <w:sz w:val="32"/>
          <w:szCs w:val="32"/>
        </w:rPr>
      </w:pPr>
      <w:r>
        <w:rPr>
          <w:rFonts w:ascii="Times New Roman" w:hAnsi="Times New Roman" w:eastAsia="华文宋体"/>
          <w:kern w:val="0"/>
          <w:sz w:val="32"/>
          <w:szCs w:val="32"/>
        </w:rPr>
        <w:t>排放情况：本项目噪声污染源主要为切割机、L型磨边机、四边磨机、单边直边磨机、中空生产机、打砂机、雕刻机、异型机、夹胶机等产噪设备，产噪声级值为7</w:t>
      </w:r>
      <w:r>
        <w:rPr>
          <w:rFonts w:hint="eastAsia" w:ascii="Times New Roman" w:hAnsi="Times New Roman" w:eastAsia="华文宋体"/>
          <w:kern w:val="0"/>
          <w:sz w:val="32"/>
          <w:szCs w:val="32"/>
        </w:rPr>
        <w:t>5</w:t>
      </w:r>
      <w:r>
        <w:rPr>
          <w:rFonts w:ascii="Times New Roman" w:hAnsi="Times New Roman" w:eastAsia="华文宋体"/>
          <w:kern w:val="0"/>
          <w:sz w:val="32"/>
          <w:szCs w:val="32"/>
        </w:rPr>
        <w:t>~</w:t>
      </w:r>
      <w:r>
        <w:rPr>
          <w:rFonts w:hint="eastAsia" w:ascii="Times New Roman" w:hAnsi="Times New Roman" w:eastAsia="华文宋体"/>
          <w:kern w:val="0"/>
          <w:sz w:val="32"/>
          <w:szCs w:val="32"/>
        </w:rPr>
        <w:t>8</w:t>
      </w:r>
      <w:r>
        <w:rPr>
          <w:rFonts w:ascii="Times New Roman" w:hAnsi="Times New Roman" w:eastAsia="华文宋体"/>
          <w:kern w:val="0"/>
          <w:sz w:val="32"/>
          <w:szCs w:val="32"/>
        </w:rPr>
        <w:t>0dB(A)。</w:t>
      </w:r>
    </w:p>
    <w:p>
      <w:pPr>
        <w:spacing w:line="360" w:lineRule="auto"/>
        <w:ind w:firstLine="800" w:firstLineChars="250"/>
        <w:rPr>
          <w:rFonts w:ascii="Times New Roman" w:hAnsi="Times New Roman" w:eastAsia="华文宋体"/>
          <w:kern w:val="0"/>
          <w:sz w:val="32"/>
          <w:szCs w:val="32"/>
        </w:rPr>
      </w:pPr>
      <w:r>
        <w:rPr>
          <w:rFonts w:ascii="Times New Roman" w:hAnsi="Times New Roman" w:eastAsia="华文宋体"/>
          <w:kern w:val="0"/>
          <w:sz w:val="32"/>
          <w:szCs w:val="32"/>
        </w:rPr>
        <w:t>治理措施：</w:t>
      </w:r>
      <w:r>
        <w:rPr>
          <w:rFonts w:hint="eastAsia" w:ascii="Times New Roman" w:hAnsi="Times New Roman" w:eastAsia="华文宋体"/>
          <w:kern w:val="0"/>
          <w:sz w:val="32"/>
          <w:szCs w:val="32"/>
        </w:rPr>
        <w:t>关键</w:t>
      </w:r>
      <w:r>
        <w:rPr>
          <w:rFonts w:ascii="Times New Roman" w:hAnsi="Times New Roman" w:eastAsia="华文宋体"/>
          <w:kern w:val="0"/>
          <w:sz w:val="32"/>
          <w:szCs w:val="32"/>
        </w:rPr>
        <w:t>设备配套减震、隔震、隔声、吸声等辅助装置，并在运行过程中，加强设备的维护保养。建筑内合理布局，将噪声源布置在厂区中央位置，减少噪声对外界环境的影响。</w:t>
      </w:r>
    </w:p>
    <w:p>
      <w:pPr>
        <w:spacing w:line="360" w:lineRule="auto"/>
        <w:ind w:firstLine="800" w:firstLineChars="250"/>
        <w:outlineLvl w:val="0"/>
        <w:rPr>
          <w:rFonts w:ascii="Times New Roman" w:hAnsi="Times New Roman" w:eastAsia="华文宋体"/>
          <w:b/>
          <w:kern w:val="0"/>
          <w:sz w:val="32"/>
          <w:szCs w:val="32"/>
        </w:rPr>
      </w:pPr>
      <w:r>
        <w:rPr>
          <w:rFonts w:ascii="Times New Roman" w:hAnsi="Times New Roman" w:eastAsia="华文宋体"/>
          <w:b/>
          <w:kern w:val="0"/>
          <w:sz w:val="32"/>
          <w:szCs w:val="32"/>
        </w:rPr>
        <w:t>（四）固废排放情况及治理措施</w:t>
      </w:r>
    </w:p>
    <w:p>
      <w:pPr>
        <w:spacing w:line="360" w:lineRule="auto"/>
        <w:ind w:firstLine="800" w:firstLineChars="250"/>
        <w:rPr>
          <w:rFonts w:ascii="Times New Roman" w:hAnsi="Times New Roman" w:eastAsia="华文宋体"/>
          <w:kern w:val="0"/>
          <w:sz w:val="32"/>
          <w:szCs w:val="32"/>
        </w:rPr>
      </w:pPr>
      <w:r>
        <w:rPr>
          <w:rFonts w:ascii="Times New Roman" w:hAnsi="Times New Roman" w:eastAsia="华文宋体"/>
          <w:kern w:val="0"/>
          <w:sz w:val="32"/>
          <w:szCs w:val="32"/>
        </w:rPr>
        <w:t>排放情况：项目固废主要为边角料、玻璃碎屑、废包装材料及生活垃圾。</w:t>
      </w:r>
    </w:p>
    <w:p>
      <w:pPr>
        <w:spacing w:line="360" w:lineRule="auto"/>
        <w:ind w:firstLine="800" w:firstLineChars="250"/>
        <w:rPr>
          <w:rFonts w:ascii="Times New Roman" w:hAnsi="Times New Roman" w:eastAsia="华文宋体"/>
          <w:kern w:val="0"/>
          <w:sz w:val="32"/>
          <w:szCs w:val="32"/>
        </w:rPr>
      </w:pPr>
      <w:r>
        <w:rPr>
          <w:rFonts w:ascii="Times New Roman" w:hAnsi="Times New Roman" w:eastAsia="华文宋体"/>
          <w:kern w:val="0"/>
          <w:sz w:val="32"/>
          <w:szCs w:val="32"/>
        </w:rPr>
        <w:t>治理措施：</w:t>
      </w:r>
      <w:r>
        <w:rPr>
          <w:rFonts w:hint="eastAsia" w:ascii="宋体" w:hAnsi="宋体" w:cs="宋体"/>
          <w:kern w:val="0"/>
          <w:sz w:val="32"/>
          <w:szCs w:val="32"/>
        </w:rPr>
        <w:t>①</w:t>
      </w:r>
      <w:r>
        <w:rPr>
          <w:rFonts w:ascii="Times New Roman" w:hAnsi="Times New Roman" w:eastAsia="华文宋体"/>
          <w:kern w:val="0"/>
          <w:sz w:val="32"/>
          <w:szCs w:val="32"/>
        </w:rPr>
        <w:t>边角料用铁桶收集后由专业公司回收。</w:t>
      </w:r>
      <w:r>
        <w:rPr>
          <w:rFonts w:ascii="Times New Roman" w:hAnsi="Times New Roman"/>
          <w:kern w:val="0"/>
          <w:sz w:val="32"/>
          <w:szCs w:val="32"/>
        </w:rPr>
        <w:t>。</w:t>
      </w:r>
      <w:r>
        <w:rPr>
          <w:rFonts w:hint="eastAsia" w:ascii="宋体" w:hAnsi="宋体" w:cs="宋体"/>
          <w:kern w:val="0"/>
          <w:sz w:val="32"/>
          <w:szCs w:val="32"/>
        </w:rPr>
        <w:t>②</w:t>
      </w:r>
      <w:r>
        <w:rPr>
          <w:rFonts w:ascii="Times New Roman" w:hAnsi="Times New Roman" w:eastAsia="华文宋体"/>
          <w:kern w:val="0"/>
          <w:sz w:val="32"/>
          <w:szCs w:val="32"/>
        </w:rPr>
        <w:t>玻璃碎屑用铁桶收集后由专业公司回收</w:t>
      </w:r>
      <w:r>
        <w:rPr>
          <w:rFonts w:ascii="Times New Roman" w:hAnsi="Times New Roman"/>
          <w:kern w:val="0"/>
          <w:sz w:val="32"/>
          <w:szCs w:val="32"/>
        </w:rPr>
        <w:t>。</w:t>
      </w:r>
      <w:r>
        <w:rPr>
          <w:rFonts w:hint="eastAsia" w:ascii="宋体" w:hAnsi="宋体" w:cs="宋体"/>
          <w:kern w:val="0"/>
          <w:sz w:val="32"/>
          <w:szCs w:val="32"/>
        </w:rPr>
        <w:t>③</w:t>
      </w:r>
      <w:r>
        <w:rPr>
          <w:rFonts w:ascii="Times New Roman" w:hAnsi="Times New Roman" w:eastAsia="华文宋体"/>
          <w:kern w:val="0"/>
          <w:sz w:val="32"/>
          <w:szCs w:val="32"/>
        </w:rPr>
        <w:t>员工生活垃圾定期交由环卫部门清运处理</w:t>
      </w:r>
      <w:r>
        <w:rPr>
          <w:rFonts w:ascii="Times New Roman" w:hAnsi="Times New Roman"/>
          <w:kern w:val="0"/>
          <w:sz w:val="32"/>
          <w:szCs w:val="32"/>
        </w:rPr>
        <w:t>。</w:t>
      </w:r>
      <w:r>
        <w:rPr>
          <w:rFonts w:hint="eastAsia" w:ascii="宋体" w:hAnsi="宋体" w:cs="宋体"/>
          <w:kern w:val="0"/>
          <w:sz w:val="32"/>
          <w:szCs w:val="32"/>
        </w:rPr>
        <w:t>④</w:t>
      </w:r>
      <w:r>
        <w:rPr>
          <w:rFonts w:ascii="Times New Roman" w:hAnsi="Times New Roman" w:eastAsia="华文宋体"/>
          <w:kern w:val="0"/>
          <w:sz w:val="32"/>
          <w:szCs w:val="32"/>
        </w:rPr>
        <w:t>废包装交由废品回收单位回收。</w:t>
      </w:r>
    </w:p>
    <w:p>
      <w:pPr>
        <w:pStyle w:val="26"/>
        <w:widowControl/>
        <w:numPr>
          <w:ilvl w:val="0"/>
          <w:numId w:val="1"/>
        </w:numPr>
        <w:spacing w:line="360" w:lineRule="auto"/>
        <w:ind w:left="0" w:firstLine="851" w:firstLineChars="0"/>
        <w:jc w:val="left"/>
        <w:rPr>
          <w:rFonts w:ascii="Times New Roman" w:hAnsi="Times New Roman" w:eastAsia="华文宋体"/>
          <w:b/>
          <w:kern w:val="0"/>
          <w:sz w:val="32"/>
          <w:szCs w:val="32"/>
        </w:rPr>
      </w:pPr>
      <w:r>
        <w:rPr>
          <w:rFonts w:ascii="Times New Roman" w:hAnsi="Times New Roman" w:eastAsia="华文宋体"/>
          <w:b/>
          <w:kern w:val="0"/>
          <w:sz w:val="32"/>
          <w:szCs w:val="32"/>
        </w:rPr>
        <w:t>环境保护设施运行效果和工程建设对环境的影响</w:t>
      </w:r>
    </w:p>
    <w:p>
      <w:pPr>
        <w:spacing w:line="360" w:lineRule="auto"/>
        <w:ind w:firstLine="800" w:firstLineChars="250"/>
        <w:outlineLvl w:val="0"/>
        <w:rPr>
          <w:rFonts w:ascii="Times New Roman" w:hAnsi="Times New Roman" w:eastAsia="华文宋体"/>
          <w:b/>
          <w:kern w:val="0"/>
          <w:sz w:val="32"/>
          <w:szCs w:val="32"/>
        </w:rPr>
      </w:pPr>
      <w:r>
        <w:rPr>
          <w:rFonts w:ascii="Times New Roman" w:hAnsi="Times New Roman" w:eastAsia="华文宋体"/>
          <w:b/>
          <w:kern w:val="0"/>
          <w:sz w:val="32"/>
          <w:szCs w:val="32"/>
        </w:rPr>
        <w:t>（一）污染物达标排放情况</w:t>
      </w:r>
    </w:p>
    <w:p>
      <w:pPr>
        <w:spacing w:line="360" w:lineRule="auto"/>
        <w:ind w:firstLine="640" w:firstLineChars="200"/>
        <w:rPr>
          <w:rFonts w:ascii="Times New Roman" w:hAnsi="Times New Roman" w:eastAsia="华文宋体"/>
          <w:kern w:val="0"/>
          <w:sz w:val="32"/>
          <w:szCs w:val="32"/>
        </w:rPr>
      </w:pPr>
      <w:r>
        <w:rPr>
          <w:rFonts w:ascii="Times New Roman" w:hAnsi="Times New Roman" w:eastAsia="华文宋体"/>
          <w:kern w:val="0"/>
          <w:sz w:val="32"/>
          <w:szCs w:val="32"/>
        </w:rPr>
        <w:t>1、有组织废气</w:t>
      </w:r>
    </w:p>
    <w:p>
      <w:pPr>
        <w:spacing w:line="360" w:lineRule="auto"/>
        <w:ind w:firstLine="640" w:firstLineChars="200"/>
        <w:rPr>
          <w:rFonts w:ascii="Times New Roman" w:hAnsi="Times New Roman" w:eastAsia="华文宋体"/>
          <w:kern w:val="0"/>
          <w:sz w:val="32"/>
          <w:szCs w:val="32"/>
        </w:rPr>
      </w:pPr>
      <w:r>
        <w:rPr>
          <w:rFonts w:ascii="Times New Roman" w:hAnsi="Times New Roman" w:eastAsia="华文宋体"/>
          <w:kern w:val="0"/>
          <w:sz w:val="32"/>
          <w:szCs w:val="32"/>
        </w:rPr>
        <w:t>监测结果表明：车间</w:t>
      </w:r>
      <w:r>
        <w:rPr>
          <w:rFonts w:hint="eastAsia" w:ascii="Times New Roman" w:hAnsi="Times New Roman" w:eastAsia="华文宋体"/>
          <w:kern w:val="0"/>
          <w:sz w:val="32"/>
          <w:szCs w:val="32"/>
        </w:rPr>
        <w:t>有组织废气排放口</w:t>
      </w:r>
      <w:r>
        <w:rPr>
          <w:rFonts w:ascii="Times New Roman" w:hAnsi="Times New Roman" w:eastAsia="华文宋体"/>
          <w:kern w:val="0"/>
          <w:sz w:val="32"/>
          <w:szCs w:val="32"/>
        </w:rPr>
        <w:t>非甲烷总烃排放浓度为0.52~0.58mg/m</w:t>
      </w:r>
      <w:r>
        <w:rPr>
          <w:rFonts w:ascii="Times New Roman" w:hAnsi="Times New Roman" w:eastAsia="华文宋体"/>
          <w:kern w:val="0"/>
          <w:sz w:val="32"/>
          <w:szCs w:val="32"/>
          <w:vertAlign w:val="superscript"/>
        </w:rPr>
        <w:t>3</w:t>
      </w:r>
      <w:r>
        <w:rPr>
          <w:rFonts w:ascii="Times New Roman" w:hAnsi="Times New Roman" w:eastAsia="华文宋体"/>
          <w:kern w:val="0"/>
          <w:sz w:val="32"/>
          <w:szCs w:val="32"/>
        </w:rPr>
        <w:t>。符合广东省地方标准《大气污染物排放限值》（DB44/27-2001）第二时段二级标准限值</w:t>
      </w:r>
      <w:r>
        <w:rPr>
          <w:rFonts w:hint="eastAsia" w:ascii="Times New Roman" w:hAnsi="Times New Roman" w:eastAsia="华文宋体"/>
          <w:kern w:val="0"/>
          <w:sz w:val="32"/>
          <w:szCs w:val="32"/>
        </w:rPr>
        <w:t>要求</w:t>
      </w:r>
      <w:r>
        <w:rPr>
          <w:rFonts w:ascii="Times New Roman" w:hAnsi="Times New Roman" w:eastAsia="华文宋体"/>
          <w:kern w:val="0"/>
          <w:sz w:val="32"/>
          <w:szCs w:val="32"/>
        </w:rPr>
        <w:t>。</w:t>
      </w:r>
    </w:p>
    <w:p>
      <w:pPr>
        <w:spacing w:line="360" w:lineRule="auto"/>
        <w:ind w:firstLine="640" w:firstLineChars="200"/>
        <w:rPr>
          <w:rFonts w:ascii="Times New Roman" w:hAnsi="Times New Roman" w:eastAsia="华文宋体"/>
          <w:kern w:val="0"/>
          <w:sz w:val="32"/>
          <w:szCs w:val="32"/>
        </w:rPr>
      </w:pPr>
      <w:r>
        <w:rPr>
          <w:rFonts w:ascii="Times New Roman" w:hAnsi="Times New Roman" w:eastAsia="华文宋体"/>
          <w:kern w:val="0"/>
          <w:sz w:val="32"/>
          <w:szCs w:val="32"/>
        </w:rPr>
        <w:t>2、无组织废气</w:t>
      </w:r>
    </w:p>
    <w:p>
      <w:pPr>
        <w:spacing w:line="360" w:lineRule="auto"/>
        <w:ind w:firstLine="640" w:firstLineChars="200"/>
        <w:rPr>
          <w:rFonts w:ascii="Times New Roman" w:hAnsi="Times New Roman" w:eastAsia="华文宋体"/>
          <w:kern w:val="0"/>
          <w:sz w:val="32"/>
          <w:szCs w:val="32"/>
        </w:rPr>
      </w:pPr>
      <w:r>
        <w:rPr>
          <w:rFonts w:ascii="Times New Roman" w:hAnsi="Times New Roman" w:eastAsia="华文宋体"/>
          <w:kern w:val="0"/>
          <w:sz w:val="32"/>
          <w:szCs w:val="32"/>
        </w:rPr>
        <w:t>监测结果表明：厂界上风向非甲烷总烃监测值为0.13~0.19mg/m</w:t>
      </w:r>
      <w:r>
        <w:rPr>
          <w:rFonts w:ascii="Times New Roman" w:hAnsi="Times New Roman" w:eastAsia="华文宋体"/>
          <w:kern w:val="0"/>
          <w:sz w:val="32"/>
          <w:szCs w:val="32"/>
          <w:vertAlign w:val="superscript"/>
        </w:rPr>
        <w:t>3</w:t>
      </w:r>
      <w:r>
        <w:rPr>
          <w:rFonts w:ascii="Times New Roman" w:hAnsi="Times New Roman" w:eastAsia="华文宋体"/>
          <w:kern w:val="0"/>
          <w:sz w:val="32"/>
          <w:szCs w:val="32"/>
        </w:rPr>
        <w:t>；厂界下风向非甲烷总烃监测值为0.26~0.37mg/m</w:t>
      </w:r>
      <w:r>
        <w:rPr>
          <w:rFonts w:ascii="Times New Roman" w:hAnsi="Times New Roman" w:eastAsia="华文宋体"/>
          <w:kern w:val="0"/>
          <w:sz w:val="32"/>
          <w:szCs w:val="32"/>
          <w:vertAlign w:val="superscript"/>
        </w:rPr>
        <w:t>3</w:t>
      </w:r>
      <w:r>
        <w:rPr>
          <w:rFonts w:ascii="Times New Roman" w:hAnsi="Times New Roman" w:eastAsia="华文宋体"/>
          <w:kern w:val="0"/>
          <w:sz w:val="32"/>
          <w:szCs w:val="32"/>
        </w:rPr>
        <w:t>。</w:t>
      </w:r>
      <w:r>
        <w:rPr>
          <w:rFonts w:hint="eastAsia" w:ascii="Times New Roman" w:hAnsi="Times New Roman" w:eastAsia="华文宋体"/>
          <w:kern w:val="0"/>
          <w:sz w:val="32"/>
          <w:szCs w:val="32"/>
        </w:rPr>
        <w:t>均</w:t>
      </w:r>
      <w:r>
        <w:rPr>
          <w:rFonts w:ascii="Times New Roman" w:hAnsi="Times New Roman" w:eastAsia="华文宋体"/>
          <w:kern w:val="0"/>
          <w:sz w:val="32"/>
          <w:szCs w:val="32"/>
        </w:rPr>
        <w:t>符合广东省地方标准《大气污染物排放限值》（DB 44/27-2001）第二时段无组织排放监控浓度限值</w:t>
      </w:r>
      <w:r>
        <w:rPr>
          <w:rFonts w:hint="eastAsia" w:ascii="Times New Roman" w:hAnsi="Times New Roman" w:eastAsia="华文宋体"/>
          <w:kern w:val="0"/>
          <w:sz w:val="32"/>
          <w:szCs w:val="32"/>
        </w:rPr>
        <w:t>要求</w:t>
      </w:r>
      <w:r>
        <w:rPr>
          <w:rFonts w:ascii="Times New Roman" w:hAnsi="Times New Roman" w:eastAsia="华文宋体"/>
          <w:kern w:val="0"/>
          <w:sz w:val="32"/>
          <w:szCs w:val="32"/>
        </w:rPr>
        <w:t>。</w:t>
      </w:r>
    </w:p>
    <w:p>
      <w:pPr>
        <w:spacing w:line="360" w:lineRule="auto"/>
        <w:ind w:firstLine="640" w:firstLineChars="200"/>
        <w:rPr>
          <w:rFonts w:ascii="Times New Roman" w:hAnsi="Times New Roman" w:eastAsia="华文宋体"/>
          <w:kern w:val="0"/>
          <w:sz w:val="32"/>
          <w:szCs w:val="32"/>
        </w:rPr>
      </w:pPr>
      <w:r>
        <w:rPr>
          <w:rFonts w:ascii="Times New Roman" w:hAnsi="Times New Roman" w:eastAsia="华文宋体"/>
          <w:kern w:val="0"/>
          <w:sz w:val="32"/>
          <w:szCs w:val="32"/>
        </w:rPr>
        <w:t>监测结果表明：厂区无组织非甲烷总烃监测值为0.42~0.46mg/m</w:t>
      </w:r>
      <w:r>
        <w:rPr>
          <w:rFonts w:ascii="Times New Roman" w:hAnsi="Times New Roman" w:eastAsia="华文宋体"/>
          <w:kern w:val="0"/>
          <w:sz w:val="32"/>
          <w:szCs w:val="32"/>
          <w:vertAlign w:val="superscript"/>
        </w:rPr>
        <w:t>3</w:t>
      </w:r>
      <w:r>
        <w:rPr>
          <w:rFonts w:ascii="Times New Roman" w:hAnsi="Times New Roman" w:eastAsia="华文宋体"/>
          <w:kern w:val="0"/>
          <w:sz w:val="32"/>
          <w:szCs w:val="32"/>
        </w:rPr>
        <w:t>。</w:t>
      </w:r>
      <w:r>
        <w:rPr>
          <w:rFonts w:hint="eastAsia" w:ascii="Times New Roman" w:hAnsi="Times New Roman" w:eastAsia="华文宋体"/>
          <w:kern w:val="0"/>
          <w:sz w:val="32"/>
          <w:szCs w:val="32"/>
        </w:rPr>
        <w:t>符合</w:t>
      </w:r>
      <w:r>
        <w:rPr>
          <w:rFonts w:ascii="Times New Roman" w:hAnsi="Times New Roman" w:eastAsia="华文宋体"/>
          <w:kern w:val="0"/>
          <w:sz w:val="32"/>
          <w:szCs w:val="32"/>
        </w:rPr>
        <w:t>广东省地方标准《固定污染源挥发性有机物综合排放标准》（DB44/2367-2022）表 3 限值要求。</w:t>
      </w:r>
    </w:p>
    <w:p>
      <w:pPr>
        <w:spacing w:line="360" w:lineRule="auto"/>
        <w:ind w:firstLine="640" w:firstLineChars="200"/>
        <w:rPr>
          <w:rFonts w:ascii="Times New Roman" w:hAnsi="Times New Roman" w:eastAsia="华文宋体"/>
          <w:kern w:val="0"/>
          <w:sz w:val="32"/>
          <w:szCs w:val="32"/>
        </w:rPr>
      </w:pPr>
      <w:r>
        <w:rPr>
          <w:rFonts w:ascii="Times New Roman" w:hAnsi="Times New Roman" w:eastAsia="华文宋体"/>
          <w:kern w:val="0"/>
          <w:sz w:val="32"/>
          <w:szCs w:val="32"/>
        </w:rPr>
        <w:t>3、废水</w:t>
      </w:r>
    </w:p>
    <w:p>
      <w:pPr>
        <w:spacing w:line="360" w:lineRule="auto"/>
        <w:ind w:firstLine="640" w:firstLineChars="200"/>
        <w:rPr>
          <w:rFonts w:ascii="Times New Roman" w:hAnsi="Times New Roman" w:eastAsia="华文宋体"/>
          <w:kern w:val="0"/>
          <w:sz w:val="32"/>
          <w:szCs w:val="32"/>
        </w:rPr>
      </w:pPr>
      <w:r>
        <w:rPr>
          <w:rFonts w:ascii="Times New Roman" w:hAnsi="Times New Roman" w:eastAsia="华文宋体"/>
          <w:kern w:val="0"/>
          <w:sz w:val="32"/>
          <w:szCs w:val="32"/>
        </w:rPr>
        <w:t>监测结果表明：污水排放口污染物pH</w:t>
      </w:r>
      <w:r>
        <w:rPr>
          <w:rFonts w:hint="eastAsia" w:ascii="Times New Roman" w:hAnsi="Times New Roman" w:eastAsia="华文宋体"/>
          <w:kern w:val="0"/>
          <w:sz w:val="32"/>
          <w:szCs w:val="32"/>
        </w:rPr>
        <w:t>值</w:t>
      </w:r>
      <w:r>
        <w:rPr>
          <w:rFonts w:ascii="Times New Roman" w:hAnsi="Times New Roman" w:eastAsia="华文宋体"/>
          <w:kern w:val="0"/>
          <w:sz w:val="32"/>
          <w:szCs w:val="32"/>
        </w:rPr>
        <w:t>监测值为7.0~7.1</w:t>
      </w:r>
      <w:r>
        <w:rPr>
          <w:rFonts w:hint="eastAsia" w:ascii="Times New Roman" w:hAnsi="Times New Roman" w:eastAsia="华文宋体"/>
          <w:kern w:val="0"/>
          <w:sz w:val="32"/>
          <w:szCs w:val="32"/>
        </w:rPr>
        <w:t>（无量纲</w:t>
      </w:r>
      <w:r>
        <w:rPr>
          <w:rFonts w:ascii="Times New Roman" w:hAnsi="Times New Roman" w:eastAsia="华文宋体"/>
          <w:kern w:val="0"/>
          <w:sz w:val="32"/>
          <w:szCs w:val="32"/>
        </w:rPr>
        <w:t>）；悬浮物监测值为35~41mg/L；化学需氧量监测值为32~38mg/L；五日生化需氧量监测值为8.4~9.4mg/L；氨氮监测值为20.1~22.9mg/L。污水排放口污染物监测结果均符合广东省地方标准《水污染物排放限值》（DB 44/26-2001）中第二时段三级标准限值及反哺片区企业废水排放浓度限值（即安乐水质净化厂要求进水水质标准）的较严值（pH值范围6~9、悬浮物≤200mg/L、化学需氧量≤250mg/L、五日生化需氧量≤120mg/L氨氮≤30mg/L）</w:t>
      </w:r>
      <w:r>
        <w:rPr>
          <w:rFonts w:hint="eastAsia" w:ascii="Times New Roman" w:hAnsi="Times New Roman" w:eastAsia="华文宋体"/>
          <w:kern w:val="0"/>
          <w:sz w:val="32"/>
          <w:szCs w:val="32"/>
        </w:rPr>
        <w:t>要求</w:t>
      </w:r>
      <w:r>
        <w:rPr>
          <w:rFonts w:ascii="Times New Roman" w:hAnsi="Times New Roman" w:eastAsia="华文宋体"/>
          <w:kern w:val="0"/>
          <w:sz w:val="32"/>
          <w:szCs w:val="32"/>
        </w:rPr>
        <w:t>。</w:t>
      </w:r>
    </w:p>
    <w:p>
      <w:pPr>
        <w:spacing w:line="360" w:lineRule="auto"/>
        <w:ind w:firstLine="640" w:firstLineChars="200"/>
        <w:rPr>
          <w:rFonts w:ascii="Times New Roman" w:hAnsi="Times New Roman" w:eastAsia="华文宋体"/>
          <w:kern w:val="0"/>
          <w:sz w:val="32"/>
          <w:szCs w:val="32"/>
        </w:rPr>
      </w:pPr>
      <w:r>
        <w:rPr>
          <w:rFonts w:ascii="Times New Roman" w:hAnsi="Times New Roman" w:eastAsia="华文宋体"/>
          <w:kern w:val="0"/>
          <w:sz w:val="32"/>
          <w:szCs w:val="32"/>
        </w:rPr>
        <w:t>3、噪声</w:t>
      </w:r>
    </w:p>
    <w:p>
      <w:pPr>
        <w:spacing w:line="360" w:lineRule="auto"/>
        <w:ind w:firstLine="640" w:firstLineChars="200"/>
        <w:rPr>
          <w:rFonts w:ascii="Times New Roman" w:hAnsi="Times New Roman" w:eastAsia="华文宋体"/>
          <w:kern w:val="0"/>
          <w:sz w:val="32"/>
          <w:szCs w:val="32"/>
        </w:rPr>
      </w:pPr>
      <w:r>
        <w:rPr>
          <w:rFonts w:ascii="Times New Roman" w:hAnsi="Times New Roman" w:eastAsia="华文宋体"/>
          <w:kern w:val="0"/>
          <w:sz w:val="32"/>
          <w:szCs w:val="32"/>
        </w:rPr>
        <w:t>监测结果表明：本项目厂界噪声昼间为56~59dB(A)，夜间为42~47dB(A)。厂界符合《工业企业厂界环境噪声排放标准》（GB12348-2008）中的3类标准限值要求。</w:t>
      </w:r>
    </w:p>
    <w:p>
      <w:pPr>
        <w:spacing w:line="360" w:lineRule="auto"/>
        <w:ind w:firstLine="640" w:firstLineChars="200"/>
        <w:rPr>
          <w:rFonts w:ascii="Times New Roman" w:hAnsi="Times New Roman" w:eastAsia="华文宋体"/>
          <w:kern w:val="0"/>
          <w:sz w:val="32"/>
          <w:szCs w:val="32"/>
        </w:rPr>
      </w:pPr>
      <w:r>
        <w:rPr>
          <w:rFonts w:ascii="Times New Roman" w:hAnsi="Times New Roman" w:eastAsia="华文宋体"/>
          <w:kern w:val="0"/>
          <w:sz w:val="32"/>
          <w:szCs w:val="32"/>
        </w:rPr>
        <w:t>4、固废</w:t>
      </w:r>
    </w:p>
    <w:p>
      <w:pPr>
        <w:spacing w:line="360" w:lineRule="auto"/>
        <w:ind w:firstLine="640" w:firstLineChars="200"/>
        <w:rPr>
          <w:rFonts w:ascii="Times New Roman" w:hAnsi="Times New Roman" w:eastAsia="华文宋体"/>
          <w:kern w:val="0"/>
          <w:sz w:val="32"/>
          <w:szCs w:val="32"/>
        </w:rPr>
      </w:pPr>
      <w:r>
        <w:rPr>
          <w:rFonts w:ascii="Times New Roman" w:hAnsi="Times New Roman" w:eastAsia="华文宋体"/>
          <w:kern w:val="0"/>
          <w:sz w:val="32"/>
          <w:szCs w:val="32"/>
        </w:rPr>
        <w:t>本项目产生的一般固体废物的暂存符合《一般工业固体废物贮存和填埋污染控制标准》（GB18599-2020）的要求。</w:t>
      </w:r>
    </w:p>
    <w:p>
      <w:pPr>
        <w:spacing w:line="360" w:lineRule="auto"/>
        <w:ind w:firstLine="800" w:firstLineChars="250"/>
        <w:outlineLvl w:val="0"/>
        <w:rPr>
          <w:rFonts w:ascii="Times New Roman" w:hAnsi="Times New Roman" w:eastAsia="华文宋体"/>
          <w:b/>
          <w:kern w:val="0"/>
          <w:sz w:val="32"/>
          <w:szCs w:val="32"/>
        </w:rPr>
      </w:pPr>
      <w:r>
        <w:rPr>
          <w:rFonts w:ascii="Times New Roman" w:hAnsi="Times New Roman" w:eastAsia="华文宋体"/>
          <w:b/>
          <w:kern w:val="0"/>
          <w:sz w:val="32"/>
          <w:szCs w:val="32"/>
        </w:rPr>
        <w:t>（二）污染物排放总量</w:t>
      </w:r>
    </w:p>
    <w:p>
      <w:pPr>
        <w:spacing w:line="360" w:lineRule="auto"/>
        <w:ind w:firstLine="640" w:firstLineChars="200"/>
        <w:rPr>
          <w:rFonts w:ascii="Times New Roman" w:hAnsi="Times New Roman" w:eastAsia="华文宋体"/>
          <w:kern w:val="0"/>
          <w:sz w:val="32"/>
          <w:szCs w:val="32"/>
        </w:rPr>
      </w:pPr>
      <w:r>
        <w:rPr>
          <w:rFonts w:hint="eastAsia" w:ascii="Times New Roman" w:hAnsi="Times New Roman" w:eastAsia="华文宋体"/>
          <w:kern w:val="0"/>
          <w:sz w:val="32"/>
          <w:szCs w:val="32"/>
        </w:rPr>
        <w:t>根据</w:t>
      </w:r>
      <w:r>
        <w:rPr>
          <w:rFonts w:ascii="Times New Roman" w:hAnsi="Times New Roman" w:eastAsia="华文宋体"/>
          <w:kern w:val="0"/>
          <w:sz w:val="32"/>
          <w:szCs w:val="32"/>
        </w:rPr>
        <w:t>项目的环境影响报告表</w:t>
      </w:r>
      <w:r>
        <w:rPr>
          <w:rFonts w:hint="eastAsia" w:ascii="Times New Roman" w:hAnsi="Times New Roman" w:eastAsia="华文宋体"/>
          <w:kern w:val="0"/>
          <w:sz w:val="32"/>
          <w:szCs w:val="32"/>
        </w:rPr>
        <w:t>及其批复</w:t>
      </w:r>
      <w:r>
        <w:rPr>
          <w:rFonts w:ascii="Times New Roman" w:hAnsi="Times New Roman" w:eastAsia="华文宋体"/>
          <w:kern w:val="0"/>
          <w:sz w:val="32"/>
          <w:szCs w:val="32"/>
        </w:rPr>
        <w:t>，项目大气污染物总量控制指标</w:t>
      </w:r>
      <w:r>
        <w:rPr>
          <w:rFonts w:hint="eastAsia" w:ascii="Times New Roman" w:hAnsi="Times New Roman" w:eastAsia="华文宋体"/>
          <w:kern w:val="0"/>
          <w:sz w:val="32"/>
          <w:szCs w:val="32"/>
        </w:rPr>
        <w:t>为</w:t>
      </w:r>
      <w:r>
        <w:rPr>
          <w:rFonts w:ascii="Times New Roman" w:hAnsi="Times New Roman" w:eastAsia="华文宋体"/>
          <w:kern w:val="0"/>
          <w:sz w:val="32"/>
          <w:szCs w:val="32"/>
        </w:rPr>
        <w:t>：非甲烷总烃排放量为 0.0075t/a。项目水污染物总量控制指标为：CODcr：0.0039t/a，氨氮：0.004t/a。</w:t>
      </w:r>
    </w:p>
    <w:p>
      <w:pPr>
        <w:spacing w:line="360" w:lineRule="auto"/>
        <w:ind w:firstLine="640" w:firstLineChars="200"/>
        <w:rPr>
          <w:rFonts w:ascii="Times New Roman" w:hAnsi="Times New Roman" w:eastAsia="华文宋体"/>
          <w:kern w:val="0"/>
          <w:sz w:val="32"/>
          <w:szCs w:val="32"/>
        </w:rPr>
      </w:pPr>
      <w:r>
        <w:rPr>
          <w:rFonts w:ascii="Times New Roman" w:hAnsi="Times New Roman" w:eastAsia="华文宋体"/>
          <w:kern w:val="0"/>
          <w:sz w:val="32"/>
          <w:szCs w:val="32"/>
        </w:rPr>
        <w:t>根据项目检测结果，非甲烷总烃平均排放速率为0.0018kg/h，按年生产时间2400小时计算，非甲烷总烃核算总量为0.00432t/a</w:t>
      </w:r>
      <w:r>
        <w:rPr>
          <w:rFonts w:hint="eastAsia" w:ascii="Times New Roman" w:hAnsi="Times New Roman" w:eastAsia="华文宋体"/>
          <w:kern w:val="0"/>
          <w:sz w:val="32"/>
          <w:szCs w:val="32"/>
        </w:rPr>
        <w:t>，</w:t>
      </w:r>
      <w:r>
        <w:rPr>
          <w:rFonts w:ascii="Times New Roman" w:hAnsi="Times New Roman" w:eastAsia="华文宋体"/>
          <w:kern w:val="0"/>
          <w:sz w:val="32"/>
          <w:szCs w:val="32"/>
        </w:rPr>
        <w:t>符合项目的环境影响报告表</w:t>
      </w:r>
      <w:r>
        <w:rPr>
          <w:rFonts w:hint="eastAsia" w:ascii="Times New Roman" w:hAnsi="Times New Roman" w:eastAsia="华文宋体"/>
          <w:kern w:val="0"/>
          <w:sz w:val="32"/>
          <w:szCs w:val="32"/>
        </w:rPr>
        <w:t>及其批复要求</w:t>
      </w:r>
      <w:r>
        <w:rPr>
          <w:rFonts w:ascii="Times New Roman" w:hAnsi="Times New Roman" w:eastAsia="华文宋体"/>
          <w:kern w:val="0"/>
          <w:sz w:val="32"/>
          <w:szCs w:val="32"/>
        </w:rPr>
        <w:t>。</w:t>
      </w:r>
    </w:p>
    <w:p>
      <w:pPr>
        <w:spacing w:line="360" w:lineRule="auto"/>
        <w:ind w:firstLine="640" w:firstLineChars="200"/>
        <w:rPr>
          <w:rFonts w:ascii="Times New Roman" w:hAnsi="Times New Roman" w:eastAsia="华文宋体"/>
          <w:kern w:val="0"/>
          <w:sz w:val="32"/>
          <w:szCs w:val="32"/>
        </w:rPr>
      </w:pPr>
      <w:r>
        <w:rPr>
          <w:rFonts w:ascii="Times New Roman" w:hAnsi="Times New Roman" w:eastAsia="华文宋体"/>
          <w:kern w:val="0"/>
          <w:sz w:val="32"/>
          <w:szCs w:val="32"/>
        </w:rPr>
        <w:t>由于厂区生活污水经预处理后排入安乐水质净化厂，因此本项目</w:t>
      </w:r>
      <w:r>
        <w:rPr>
          <w:rFonts w:hint="eastAsia" w:ascii="Times New Roman" w:hAnsi="Times New Roman" w:eastAsia="华文宋体"/>
          <w:kern w:val="0"/>
          <w:sz w:val="32"/>
          <w:szCs w:val="32"/>
        </w:rPr>
        <w:t>不需</w:t>
      </w:r>
      <w:r>
        <w:rPr>
          <w:rFonts w:ascii="Times New Roman" w:hAnsi="Times New Roman" w:eastAsia="华文宋体"/>
          <w:kern w:val="0"/>
          <w:sz w:val="32"/>
          <w:szCs w:val="32"/>
        </w:rPr>
        <w:t>再设置废水污染物总量控制。</w:t>
      </w:r>
    </w:p>
    <w:p>
      <w:pPr>
        <w:spacing w:line="360" w:lineRule="auto"/>
        <w:ind w:firstLine="800" w:firstLineChars="250"/>
        <w:outlineLvl w:val="0"/>
        <w:rPr>
          <w:rFonts w:ascii="Times New Roman" w:hAnsi="Times New Roman" w:eastAsia="华文宋体"/>
          <w:b/>
          <w:kern w:val="0"/>
          <w:sz w:val="32"/>
          <w:szCs w:val="32"/>
        </w:rPr>
      </w:pPr>
      <w:r>
        <w:rPr>
          <w:rFonts w:ascii="Times New Roman" w:hAnsi="Times New Roman" w:eastAsia="华文宋体"/>
          <w:b/>
          <w:kern w:val="0"/>
          <w:sz w:val="32"/>
          <w:szCs w:val="32"/>
        </w:rPr>
        <w:t>（三）存在的主要问题</w:t>
      </w:r>
    </w:p>
    <w:p>
      <w:pPr>
        <w:spacing w:line="360" w:lineRule="auto"/>
        <w:ind w:firstLine="640" w:firstLineChars="200"/>
        <w:rPr>
          <w:rFonts w:ascii="Times New Roman" w:hAnsi="Times New Roman" w:eastAsia="华文宋体"/>
          <w:kern w:val="0"/>
          <w:sz w:val="32"/>
          <w:szCs w:val="32"/>
        </w:rPr>
      </w:pPr>
      <w:r>
        <w:rPr>
          <w:rFonts w:ascii="Times New Roman" w:hAnsi="Times New Roman" w:eastAsia="华文宋体"/>
          <w:kern w:val="0"/>
          <w:sz w:val="32"/>
          <w:szCs w:val="32"/>
        </w:rPr>
        <w:t>无。</w:t>
      </w:r>
    </w:p>
    <w:p>
      <w:pPr>
        <w:pStyle w:val="26"/>
        <w:widowControl/>
        <w:numPr>
          <w:ilvl w:val="0"/>
          <w:numId w:val="1"/>
        </w:numPr>
        <w:spacing w:line="360" w:lineRule="auto"/>
        <w:ind w:firstLineChars="0"/>
        <w:jc w:val="left"/>
        <w:rPr>
          <w:rFonts w:ascii="Times New Roman" w:hAnsi="Times New Roman" w:eastAsia="华文宋体"/>
          <w:b/>
          <w:kern w:val="0"/>
          <w:sz w:val="32"/>
          <w:szCs w:val="32"/>
        </w:rPr>
      </w:pPr>
      <w:r>
        <w:rPr>
          <w:rFonts w:ascii="Times New Roman" w:hAnsi="Times New Roman" w:eastAsia="华文宋体"/>
          <w:b/>
          <w:kern w:val="0"/>
          <w:sz w:val="32"/>
          <w:szCs w:val="32"/>
        </w:rPr>
        <w:t>其他需要说明的事项</w:t>
      </w:r>
    </w:p>
    <w:p>
      <w:pPr>
        <w:spacing w:line="360" w:lineRule="auto"/>
        <w:ind w:firstLine="640" w:firstLineChars="200"/>
        <w:rPr>
          <w:rFonts w:ascii="Times New Roman" w:hAnsi="Times New Roman" w:eastAsia="华文宋体"/>
          <w:kern w:val="0"/>
          <w:sz w:val="32"/>
          <w:szCs w:val="32"/>
        </w:rPr>
      </w:pPr>
      <w:r>
        <w:rPr>
          <w:rFonts w:ascii="Times New Roman" w:hAnsi="Times New Roman" w:eastAsia="华文宋体"/>
          <w:kern w:val="0"/>
          <w:sz w:val="32"/>
          <w:szCs w:val="32"/>
        </w:rPr>
        <w:t>无。</w:t>
      </w:r>
    </w:p>
    <w:p>
      <w:pPr>
        <w:pStyle w:val="26"/>
        <w:widowControl/>
        <w:numPr>
          <w:ilvl w:val="0"/>
          <w:numId w:val="1"/>
        </w:numPr>
        <w:spacing w:line="360" w:lineRule="auto"/>
        <w:ind w:firstLineChars="0"/>
        <w:jc w:val="left"/>
        <w:rPr>
          <w:rFonts w:ascii="Times New Roman" w:hAnsi="Times New Roman" w:eastAsia="华文宋体"/>
          <w:b/>
          <w:kern w:val="0"/>
          <w:sz w:val="32"/>
          <w:szCs w:val="32"/>
        </w:rPr>
      </w:pPr>
      <w:r>
        <w:rPr>
          <w:rFonts w:ascii="Times New Roman" w:hAnsi="Times New Roman" w:eastAsia="华文宋体"/>
          <w:b/>
          <w:kern w:val="0"/>
          <w:sz w:val="32"/>
          <w:szCs w:val="32"/>
        </w:rPr>
        <w:t>验收结论</w:t>
      </w:r>
    </w:p>
    <w:p>
      <w:pPr>
        <w:widowControl/>
        <w:spacing w:line="360" w:lineRule="auto"/>
        <w:ind w:firstLine="640" w:firstLineChars="200"/>
        <w:jc w:val="left"/>
        <w:rPr>
          <w:rFonts w:ascii="Times New Roman" w:hAnsi="Times New Roman" w:eastAsia="华文宋体"/>
          <w:kern w:val="0"/>
          <w:sz w:val="32"/>
          <w:szCs w:val="32"/>
        </w:rPr>
      </w:pPr>
      <w:r>
        <w:rPr>
          <w:rFonts w:hint="eastAsia" w:ascii="Times New Roman" w:hAnsi="Times New Roman" w:eastAsia="华文宋体"/>
          <w:kern w:val="0"/>
          <w:sz w:val="32"/>
          <w:szCs w:val="32"/>
        </w:rPr>
        <w:t>茂名市电白区粤熙银翡玻璃有限公司年加工17000平方米玻璃制品建设项目</w:t>
      </w:r>
      <w:r>
        <w:rPr>
          <w:rFonts w:ascii="Times New Roman" w:hAnsi="Times New Roman" w:eastAsia="华文宋体"/>
          <w:kern w:val="0"/>
          <w:sz w:val="32"/>
          <w:szCs w:val="32"/>
        </w:rPr>
        <w:t>在实施过程中基本按环境影响评价文件及其批复要求，配套建设并落实了相应的环境保护措施，验收合格，同意主体工程正式投入运营。</w:t>
      </w:r>
    </w:p>
    <w:p>
      <w:pPr>
        <w:pStyle w:val="26"/>
        <w:widowControl/>
        <w:numPr>
          <w:ilvl w:val="0"/>
          <w:numId w:val="1"/>
        </w:numPr>
        <w:spacing w:line="360" w:lineRule="auto"/>
        <w:ind w:firstLineChars="0"/>
        <w:jc w:val="left"/>
        <w:rPr>
          <w:rFonts w:ascii="Times New Roman" w:hAnsi="Times New Roman" w:eastAsia="华文宋体"/>
          <w:b/>
          <w:kern w:val="0"/>
          <w:sz w:val="32"/>
          <w:szCs w:val="32"/>
        </w:rPr>
      </w:pPr>
      <w:r>
        <w:rPr>
          <w:rFonts w:ascii="Times New Roman" w:hAnsi="Times New Roman" w:eastAsia="华文宋体"/>
          <w:b/>
          <w:kern w:val="0"/>
          <w:sz w:val="32"/>
          <w:szCs w:val="32"/>
        </w:rPr>
        <w:t>后续要求</w:t>
      </w:r>
    </w:p>
    <w:p>
      <w:pPr>
        <w:widowControl/>
        <w:spacing w:line="360" w:lineRule="auto"/>
        <w:ind w:firstLine="640" w:firstLineChars="200"/>
        <w:jc w:val="left"/>
        <w:rPr>
          <w:rFonts w:ascii="Times New Roman" w:hAnsi="Times New Roman" w:eastAsia="华文宋体"/>
          <w:kern w:val="0"/>
          <w:sz w:val="32"/>
          <w:szCs w:val="32"/>
        </w:rPr>
      </w:pPr>
      <w:r>
        <w:rPr>
          <w:rFonts w:ascii="Times New Roman" w:hAnsi="Times New Roman" w:eastAsia="华文宋体"/>
          <w:kern w:val="0"/>
          <w:sz w:val="32"/>
          <w:szCs w:val="32"/>
        </w:rPr>
        <w:t>（一）加强环境设施维护与管理，确保污染物长期稳定达标排放。</w:t>
      </w:r>
    </w:p>
    <w:p>
      <w:pPr>
        <w:widowControl/>
        <w:spacing w:line="360" w:lineRule="auto"/>
        <w:ind w:firstLine="640" w:firstLineChars="200"/>
        <w:jc w:val="left"/>
        <w:rPr>
          <w:rFonts w:ascii="Times New Roman" w:hAnsi="Times New Roman" w:eastAsia="华文宋体"/>
        </w:rPr>
      </w:pPr>
      <w:r>
        <w:rPr>
          <w:rFonts w:ascii="Times New Roman" w:hAnsi="Times New Roman" w:eastAsia="华文宋体"/>
          <w:kern w:val="0"/>
          <w:sz w:val="32"/>
          <w:szCs w:val="32"/>
        </w:rPr>
        <w:t>（二）按证依法排污，接受环境保护主管部门的监督管理。</w:t>
      </w:r>
    </w:p>
    <w:p>
      <w:pPr>
        <w:widowControl/>
        <w:spacing w:line="360" w:lineRule="auto"/>
        <w:ind w:firstLine="627" w:firstLineChars="196"/>
        <w:jc w:val="left"/>
        <w:rPr>
          <w:rFonts w:ascii="Times New Roman" w:hAnsi="Times New Roman" w:eastAsia="华文宋体"/>
          <w:b/>
          <w:bCs/>
          <w:kern w:val="0"/>
          <w:sz w:val="32"/>
          <w:szCs w:val="32"/>
        </w:rPr>
      </w:pPr>
      <w:r>
        <w:rPr>
          <w:rFonts w:ascii="Times New Roman" w:hAnsi="Times New Roman" w:eastAsia="华文宋体"/>
          <w:kern w:val="0"/>
          <w:sz w:val="32"/>
          <w:szCs w:val="32"/>
        </w:rPr>
        <w:t>附：建设项目竣工环境保护验收签名表</w:t>
      </w:r>
    </w:p>
    <w:p>
      <w:pPr>
        <w:widowControl/>
        <w:spacing w:line="360" w:lineRule="auto"/>
        <w:ind w:right="640"/>
        <w:jc w:val="right"/>
        <w:rPr>
          <w:rFonts w:ascii="Times New Roman" w:hAnsi="Times New Roman" w:eastAsia="华文宋体"/>
          <w:kern w:val="0"/>
          <w:sz w:val="32"/>
          <w:szCs w:val="32"/>
        </w:rPr>
      </w:pPr>
    </w:p>
    <w:p>
      <w:pPr>
        <w:widowControl/>
        <w:spacing w:line="360" w:lineRule="auto"/>
        <w:ind w:right="640"/>
        <w:jc w:val="right"/>
        <w:rPr>
          <w:rFonts w:ascii="Times New Roman" w:hAnsi="Times New Roman" w:eastAsia="华文宋体"/>
          <w:kern w:val="0"/>
          <w:sz w:val="32"/>
          <w:szCs w:val="32"/>
        </w:rPr>
      </w:pPr>
      <w:r>
        <w:rPr>
          <w:rFonts w:hint="eastAsia" w:ascii="Times New Roman" w:hAnsi="Times New Roman" w:eastAsia="华文宋体"/>
          <w:kern w:val="0"/>
          <w:sz w:val="32"/>
          <w:szCs w:val="32"/>
        </w:rPr>
        <w:t>茂名市电白区粤熙银翡玻璃有限公司</w:t>
      </w:r>
      <w:r>
        <w:rPr>
          <w:rFonts w:ascii="Times New Roman" w:hAnsi="Times New Roman" w:eastAsia="华文宋体"/>
          <w:kern w:val="0"/>
          <w:sz w:val="32"/>
          <w:szCs w:val="32"/>
        </w:rPr>
        <w:t>（章）</w:t>
      </w:r>
    </w:p>
    <w:p>
      <w:pPr>
        <w:widowControl/>
        <w:spacing w:line="360" w:lineRule="auto"/>
        <w:ind w:right="640"/>
        <w:jc w:val="center"/>
        <w:rPr>
          <w:rFonts w:ascii="Times New Roman" w:hAnsi="Times New Roman" w:eastAsia="华文宋体"/>
          <w:sz w:val="32"/>
          <w:szCs w:val="32"/>
        </w:rPr>
        <w:sectPr>
          <w:footerReference r:id="rId3" w:type="default"/>
          <w:pgSz w:w="11906" w:h="16838"/>
          <w:pgMar w:top="1440" w:right="1800" w:bottom="1440" w:left="1800" w:header="851" w:footer="992" w:gutter="0"/>
          <w:cols w:space="425" w:num="1"/>
          <w:docGrid w:type="lines" w:linePitch="312" w:charSpace="0"/>
        </w:sectPr>
      </w:pPr>
      <w:r>
        <w:rPr>
          <w:rFonts w:ascii="Times New Roman" w:hAnsi="Times New Roman" w:eastAsia="华文宋体"/>
          <w:kern w:val="0"/>
          <w:sz w:val="32"/>
          <w:szCs w:val="32"/>
        </w:rPr>
        <w:t xml:space="preserve">                            202</w:t>
      </w:r>
      <w:r>
        <w:rPr>
          <w:rFonts w:hint="eastAsia" w:ascii="Times New Roman" w:hAnsi="Times New Roman" w:eastAsia="华文宋体"/>
          <w:kern w:val="0"/>
          <w:sz w:val="32"/>
          <w:szCs w:val="32"/>
        </w:rPr>
        <w:t>4</w:t>
      </w:r>
      <w:r>
        <w:rPr>
          <w:rFonts w:ascii="Times New Roman" w:hAnsi="Times New Roman" w:eastAsia="华文宋体"/>
          <w:kern w:val="0"/>
          <w:sz w:val="32"/>
          <w:szCs w:val="32"/>
        </w:rPr>
        <w:t>年6月17日</w:t>
      </w:r>
      <w:bookmarkStart w:id="0" w:name="_GoBack"/>
      <w:bookmarkEnd w:id="0"/>
    </w:p>
    <w:p>
      <w:pPr>
        <w:rPr>
          <w:rFonts w:ascii="Times New Roman" w:hAnsi="Times New Roman" w:eastAsia="华文宋体"/>
          <w:sz w:val="28"/>
          <w:szCs w:val="28"/>
        </w:rPr>
      </w:pPr>
    </w:p>
    <w:sectPr>
      <w:footerReference r:id="rId4" w:type="default"/>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华文宋体">
    <w:altName w:val="Malgun Gothic Semilight"/>
    <w:panose1 w:val="02010600040101010101"/>
    <w:charset w:val="86"/>
    <w:family w:val="auto"/>
    <w:pitch w:val="default"/>
    <w:sig w:usb0="00000000" w:usb1="00000000" w:usb2="00000010" w:usb3="00000000" w:csb0="0004009F" w:csb1="00000000"/>
  </w:font>
  <w:font w:name="Malgun Gothic Semilight">
    <w:panose1 w:val="020B0502040204020203"/>
    <w:charset w:val="86"/>
    <w:family w:val="auto"/>
    <w:pitch w:val="default"/>
    <w:sig w:usb0="900002AF" w:usb1="01D77CFB" w:usb2="00000012" w:usb3="00000000" w:csb0="203E01BD"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sz w:val="24"/>
        <w:szCs w:val="24"/>
      </w:rPr>
    </w:pPr>
    <w:r>
      <w:rPr>
        <w:rFonts w:hint="eastAsia"/>
        <w:sz w:val="24"/>
        <w:szCs w:val="24"/>
      </w:rPr>
      <w:t>第</w:t>
    </w: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3</w:t>
    </w:r>
    <w:r>
      <w:rPr>
        <w:sz w:val="24"/>
        <w:szCs w:val="24"/>
      </w:rPr>
      <w:fldChar w:fldCharType="end"/>
    </w:r>
    <w:r>
      <w:rPr>
        <w:rFonts w:hint="eastAsia"/>
        <w:sz w:val="24"/>
        <w:szCs w:val="24"/>
      </w:rPr>
      <w:t>页</w:t>
    </w:r>
    <w:r>
      <w:rPr>
        <w:sz w:val="24"/>
        <w:szCs w:val="24"/>
      </w:rPr>
      <w:t xml:space="preserve"> </w:t>
    </w:r>
    <w:r>
      <w:rPr>
        <w:rFonts w:hint="eastAsia"/>
        <w:sz w:val="24"/>
        <w:szCs w:val="24"/>
      </w:rPr>
      <w:t>共</w:t>
    </w:r>
    <w:r>
      <w:rPr>
        <w:sz w:val="24"/>
        <w:szCs w:val="24"/>
      </w:rPr>
      <w:t>8</w:t>
    </w:r>
    <w:r>
      <w:rPr>
        <w:rFonts w:hint="eastAsia"/>
        <w:sz w:val="24"/>
        <w:szCs w:val="24"/>
      </w:rPr>
      <w:t>页</w:t>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E64A27"/>
    <w:multiLevelType w:val="multilevel"/>
    <w:tmpl w:val="0EE64A27"/>
    <w:lvl w:ilvl="0" w:tentative="0">
      <w:start w:val="1"/>
      <w:numFmt w:val="japaneseCounting"/>
      <w:lvlText w:val="%1、"/>
      <w:lvlJc w:val="left"/>
      <w:pPr>
        <w:ind w:left="1430" w:hanging="630"/>
      </w:pPr>
      <w:rPr>
        <w:rFonts w:hint="default" w:cs="Times New Roman"/>
      </w:rPr>
    </w:lvl>
    <w:lvl w:ilvl="1" w:tentative="0">
      <w:start w:val="1"/>
      <w:numFmt w:val="lowerLetter"/>
      <w:lvlText w:val="%2)"/>
      <w:lvlJc w:val="left"/>
      <w:pPr>
        <w:ind w:left="1640" w:hanging="420"/>
      </w:pPr>
      <w:rPr>
        <w:rFonts w:cs="Times New Roman"/>
      </w:rPr>
    </w:lvl>
    <w:lvl w:ilvl="2" w:tentative="0">
      <w:start w:val="1"/>
      <w:numFmt w:val="lowerRoman"/>
      <w:lvlText w:val="%3."/>
      <w:lvlJc w:val="right"/>
      <w:pPr>
        <w:ind w:left="2060" w:hanging="420"/>
      </w:pPr>
      <w:rPr>
        <w:rFonts w:cs="Times New Roman"/>
      </w:rPr>
    </w:lvl>
    <w:lvl w:ilvl="3" w:tentative="0">
      <w:start w:val="1"/>
      <w:numFmt w:val="decimal"/>
      <w:lvlText w:val="%4."/>
      <w:lvlJc w:val="left"/>
      <w:pPr>
        <w:ind w:left="2480" w:hanging="420"/>
      </w:pPr>
      <w:rPr>
        <w:rFonts w:cs="Times New Roman"/>
      </w:rPr>
    </w:lvl>
    <w:lvl w:ilvl="4" w:tentative="0">
      <w:start w:val="1"/>
      <w:numFmt w:val="lowerLetter"/>
      <w:lvlText w:val="%5)"/>
      <w:lvlJc w:val="left"/>
      <w:pPr>
        <w:ind w:left="2900" w:hanging="420"/>
      </w:pPr>
      <w:rPr>
        <w:rFonts w:cs="Times New Roman"/>
      </w:rPr>
    </w:lvl>
    <w:lvl w:ilvl="5" w:tentative="0">
      <w:start w:val="1"/>
      <w:numFmt w:val="lowerRoman"/>
      <w:lvlText w:val="%6."/>
      <w:lvlJc w:val="right"/>
      <w:pPr>
        <w:ind w:left="3320" w:hanging="420"/>
      </w:pPr>
      <w:rPr>
        <w:rFonts w:cs="Times New Roman"/>
      </w:rPr>
    </w:lvl>
    <w:lvl w:ilvl="6" w:tentative="0">
      <w:start w:val="1"/>
      <w:numFmt w:val="decimal"/>
      <w:lvlText w:val="%7."/>
      <w:lvlJc w:val="left"/>
      <w:pPr>
        <w:ind w:left="3740" w:hanging="420"/>
      </w:pPr>
      <w:rPr>
        <w:rFonts w:cs="Times New Roman"/>
      </w:rPr>
    </w:lvl>
    <w:lvl w:ilvl="7" w:tentative="0">
      <w:start w:val="1"/>
      <w:numFmt w:val="lowerLetter"/>
      <w:lvlText w:val="%8)"/>
      <w:lvlJc w:val="left"/>
      <w:pPr>
        <w:ind w:left="4160" w:hanging="420"/>
      </w:pPr>
      <w:rPr>
        <w:rFonts w:cs="Times New Roman"/>
      </w:rPr>
    </w:lvl>
    <w:lvl w:ilvl="8" w:tentative="0">
      <w:start w:val="1"/>
      <w:numFmt w:val="lowerRoman"/>
      <w:lvlText w:val="%9."/>
      <w:lvlJc w:val="right"/>
      <w:pPr>
        <w:ind w:left="45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DNhZDQwYzJiOTFmNmIwMDMyZmI1M2VkOTQ3YzBmMGQifQ=="/>
  </w:docVars>
  <w:rsids>
    <w:rsidRoot w:val="00FB741E"/>
    <w:rsid w:val="000016EE"/>
    <w:rsid w:val="000043A4"/>
    <w:rsid w:val="00012D1C"/>
    <w:rsid w:val="00015B34"/>
    <w:rsid w:val="000212B3"/>
    <w:rsid w:val="000331CF"/>
    <w:rsid w:val="000343D4"/>
    <w:rsid w:val="000516ED"/>
    <w:rsid w:val="000544B2"/>
    <w:rsid w:val="00075397"/>
    <w:rsid w:val="000755CB"/>
    <w:rsid w:val="00080B0F"/>
    <w:rsid w:val="0008140D"/>
    <w:rsid w:val="00085FC3"/>
    <w:rsid w:val="00095284"/>
    <w:rsid w:val="0009672F"/>
    <w:rsid w:val="000A15B2"/>
    <w:rsid w:val="000A1762"/>
    <w:rsid w:val="000A19CB"/>
    <w:rsid w:val="000B77AC"/>
    <w:rsid w:val="000C7023"/>
    <w:rsid w:val="000E2225"/>
    <w:rsid w:val="000E247D"/>
    <w:rsid w:val="000E37AC"/>
    <w:rsid w:val="000E4216"/>
    <w:rsid w:val="000F1355"/>
    <w:rsid w:val="000F3325"/>
    <w:rsid w:val="000F7665"/>
    <w:rsid w:val="00103C9F"/>
    <w:rsid w:val="00116E2B"/>
    <w:rsid w:val="0012036A"/>
    <w:rsid w:val="001218B2"/>
    <w:rsid w:val="00121D02"/>
    <w:rsid w:val="00122C24"/>
    <w:rsid w:val="00122F8E"/>
    <w:rsid w:val="00135558"/>
    <w:rsid w:val="00140AE0"/>
    <w:rsid w:val="00146CCD"/>
    <w:rsid w:val="00150768"/>
    <w:rsid w:val="00152FB8"/>
    <w:rsid w:val="00155172"/>
    <w:rsid w:val="00160ABC"/>
    <w:rsid w:val="00162972"/>
    <w:rsid w:val="00163C46"/>
    <w:rsid w:val="00187B3F"/>
    <w:rsid w:val="00193DA0"/>
    <w:rsid w:val="001A15F2"/>
    <w:rsid w:val="001D1CB7"/>
    <w:rsid w:val="001D649F"/>
    <w:rsid w:val="001E035A"/>
    <w:rsid w:val="001F0282"/>
    <w:rsid w:val="001F44D4"/>
    <w:rsid w:val="0020036D"/>
    <w:rsid w:val="0020069C"/>
    <w:rsid w:val="00201950"/>
    <w:rsid w:val="002036DC"/>
    <w:rsid w:val="00207766"/>
    <w:rsid w:val="00210D0F"/>
    <w:rsid w:val="00211497"/>
    <w:rsid w:val="00215906"/>
    <w:rsid w:val="00216B7C"/>
    <w:rsid w:val="00217765"/>
    <w:rsid w:val="00220AE7"/>
    <w:rsid w:val="0022585B"/>
    <w:rsid w:val="002259B3"/>
    <w:rsid w:val="00237449"/>
    <w:rsid w:val="00242B47"/>
    <w:rsid w:val="0025430F"/>
    <w:rsid w:val="00256B2A"/>
    <w:rsid w:val="00262210"/>
    <w:rsid w:val="00263333"/>
    <w:rsid w:val="00271F40"/>
    <w:rsid w:val="00282199"/>
    <w:rsid w:val="00282AB3"/>
    <w:rsid w:val="00282CB7"/>
    <w:rsid w:val="00284999"/>
    <w:rsid w:val="002851BD"/>
    <w:rsid w:val="002866EF"/>
    <w:rsid w:val="002A2CF8"/>
    <w:rsid w:val="002A44D2"/>
    <w:rsid w:val="002A7FF9"/>
    <w:rsid w:val="002B14F3"/>
    <w:rsid w:val="002B5348"/>
    <w:rsid w:val="002C413D"/>
    <w:rsid w:val="002D482B"/>
    <w:rsid w:val="002E0844"/>
    <w:rsid w:val="002E4F5B"/>
    <w:rsid w:val="002F1D2E"/>
    <w:rsid w:val="002F7030"/>
    <w:rsid w:val="00307BCC"/>
    <w:rsid w:val="00311DC4"/>
    <w:rsid w:val="00316FBE"/>
    <w:rsid w:val="00317067"/>
    <w:rsid w:val="003215C5"/>
    <w:rsid w:val="003218EB"/>
    <w:rsid w:val="00325557"/>
    <w:rsid w:val="003312C3"/>
    <w:rsid w:val="00333920"/>
    <w:rsid w:val="00336D56"/>
    <w:rsid w:val="0034124D"/>
    <w:rsid w:val="0034577D"/>
    <w:rsid w:val="0034690C"/>
    <w:rsid w:val="00366056"/>
    <w:rsid w:val="00366F9B"/>
    <w:rsid w:val="00370724"/>
    <w:rsid w:val="00373309"/>
    <w:rsid w:val="003755C2"/>
    <w:rsid w:val="00380D03"/>
    <w:rsid w:val="003975EA"/>
    <w:rsid w:val="0039797F"/>
    <w:rsid w:val="003A784E"/>
    <w:rsid w:val="003B04FE"/>
    <w:rsid w:val="003B58B8"/>
    <w:rsid w:val="003C0CBB"/>
    <w:rsid w:val="003C2844"/>
    <w:rsid w:val="003D3E84"/>
    <w:rsid w:val="003E235A"/>
    <w:rsid w:val="003E71FB"/>
    <w:rsid w:val="003F1EC9"/>
    <w:rsid w:val="00413D1B"/>
    <w:rsid w:val="00435565"/>
    <w:rsid w:val="00436A4A"/>
    <w:rsid w:val="004520A9"/>
    <w:rsid w:val="00452885"/>
    <w:rsid w:val="004541B9"/>
    <w:rsid w:val="00455A87"/>
    <w:rsid w:val="00455EF0"/>
    <w:rsid w:val="004564EF"/>
    <w:rsid w:val="00461DF6"/>
    <w:rsid w:val="00464DD3"/>
    <w:rsid w:val="00466EB2"/>
    <w:rsid w:val="004676BD"/>
    <w:rsid w:val="00473544"/>
    <w:rsid w:val="004844C5"/>
    <w:rsid w:val="004908D3"/>
    <w:rsid w:val="004A0CBC"/>
    <w:rsid w:val="004A3E5B"/>
    <w:rsid w:val="004B1A7D"/>
    <w:rsid w:val="004D238C"/>
    <w:rsid w:val="004F4755"/>
    <w:rsid w:val="004F5E5C"/>
    <w:rsid w:val="004F7F32"/>
    <w:rsid w:val="00500007"/>
    <w:rsid w:val="00500C68"/>
    <w:rsid w:val="0052028D"/>
    <w:rsid w:val="00547265"/>
    <w:rsid w:val="005602EF"/>
    <w:rsid w:val="00561227"/>
    <w:rsid w:val="0056252A"/>
    <w:rsid w:val="00562A82"/>
    <w:rsid w:val="005671CF"/>
    <w:rsid w:val="00572C80"/>
    <w:rsid w:val="005936FE"/>
    <w:rsid w:val="005A1049"/>
    <w:rsid w:val="005B0AC7"/>
    <w:rsid w:val="005B166F"/>
    <w:rsid w:val="005B2936"/>
    <w:rsid w:val="005B5A91"/>
    <w:rsid w:val="005B78D2"/>
    <w:rsid w:val="005C42AD"/>
    <w:rsid w:val="005C7227"/>
    <w:rsid w:val="005C7B26"/>
    <w:rsid w:val="005F09AD"/>
    <w:rsid w:val="005F0D78"/>
    <w:rsid w:val="005F17EC"/>
    <w:rsid w:val="005F3B80"/>
    <w:rsid w:val="0060198A"/>
    <w:rsid w:val="00605A7C"/>
    <w:rsid w:val="0061253F"/>
    <w:rsid w:val="006159E3"/>
    <w:rsid w:val="00624CE7"/>
    <w:rsid w:val="00634259"/>
    <w:rsid w:val="006343FE"/>
    <w:rsid w:val="00637D63"/>
    <w:rsid w:val="006422E1"/>
    <w:rsid w:val="00643340"/>
    <w:rsid w:val="006615A2"/>
    <w:rsid w:val="0068340C"/>
    <w:rsid w:val="006877FB"/>
    <w:rsid w:val="00687853"/>
    <w:rsid w:val="00694D56"/>
    <w:rsid w:val="006A06A2"/>
    <w:rsid w:val="006A3BF7"/>
    <w:rsid w:val="006B3864"/>
    <w:rsid w:val="006C71D9"/>
    <w:rsid w:val="006D0E7E"/>
    <w:rsid w:val="006D4FEF"/>
    <w:rsid w:val="006D5D03"/>
    <w:rsid w:val="006D72B4"/>
    <w:rsid w:val="006F1AF2"/>
    <w:rsid w:val="006F3D36"/>
    <w:rsid w:val="006F7C93"/>
    <w:rsid w:val="00702919"/>
    <w:rsid w:val="007034EA"/>
    <w:rsid w:val="00703BCA"/>
    <w:rsid w:val="00707D62"/>
    <w:rsid w:val="00710277"/>
    <w:rsid w:val="00712970"/>
    <w:rsid w:val="00713E94"/>
    <w:rsid w:val="0071548F"/>
    <w:rsid w:val="00723339"/>
    <w:rsid w:val="0072670E"/>
    <w:rsid w:val="007327F5"/>
    <w:rsid w:val="007406E2"/>
    <w:rsid w:val="00747B99"/>
    <w:rsid w:val="0075421D"/>
    <w:rsid w:val="0076189C"/>
    <w:rsid w:val="00763418"/>
    <w:rsid w:val="00764BE8"/>
    <w:rsid w:val="00766019"/>
    <w:rsid w:val="00767832"/>
    <w:rsid w:val="007702F0"/>
    <w:rsid w:val="007766D6"/>
    <w:rsid w:val="007815C1"/>
    <w:rsid w:val="007921FC"/>
    <w:rsid w:val="0079624D"/>
    <w:rsid w:val="00796BC5"/>
    <w:rsid w:val="007A007E"/>
    <w:rsid w:val="007A18E8"/>
    <w:rsid w:val="007B029A"/>
    <w:rsid w:val="007B06C8"/>
    <w:rsid w:val="007B14FC"/>
    <w:rsid w:val="007B1934"/>
    <w:rsid w:val="007C4DDC"/>
    <w:rsid w:val="007D1AD6"/>
    <w:rsid w:val="007D2041"/>
    <w:rsid w:val="007E17F2"/>
    <w:rsid w:val="007E4D62"/>
    <w:rsid w:val="00800634"/>
    <w:rsid w:val="00800B3C"/>
    <w:rsid w:val="008036F7"/>
    <w:rsid w:val="00810A96"/>
    <w:rsid w:val="008256B8"/>
    <w:rsid w:val="00843CC8"/>
    <w:rsid w:val="00845E77"/>
    <w:rsid w:val="00852746"/>
    <w:rsid w:val="008631E7"/>
    <w:rsid w:val="008706EC"/>
    <w:rsid w:val="0088474E"/>
    <w:rsid w:val="008917CA"/>
    <w:rsid w:val="00897B1C"/>
    <w:rsid w:val="008A0DA2"/>
    <w:rsid w:val="008A3551"/>
    <w:rsid w:val="008B0173"/>
    <w:rsid w:val="008B1E7F"/>
    <w:rsid w:val="008C765A"/>
    <w:rsid w:val="008E294B"/>
    <w:rsid w:val="008F6E35"/>
    <w:rsid w:val="00900B5F"/>
    <w:rsid w:val="0091405E"/>
    <w:rsid w:val="00931AB5"/>
    <w:rsid w:val="0093317D"/>
    <w:rsid w:val="00937674"/>
    <w:rsid w:val="009405A9"/>
    <w:rsid w:val="00946308"/>
    <w:rsid w:val="00946AE7"/>
    <w:rsid w:val="009512F4"/>
    <w:rsid w:val="0095144D"/>
    <w:rsid w:val="00954002"/>
    <w:rsid w:val="009640D6"/>
    <w:rsid w:val="00982770"/>
    <w:rsid w:val="009873DD"/>
    <w:rsid w:val="0099319D"/>
    <w:rsid w:val="00994BBD"/>
    <w:rsid w:val="00995F08"/>
    <w:rsid w:val="00996CDD"/>
    <w:rsid w:val="00997B41"/>
    <w:rsid w:val="009A08BE"/>
    <w:rsid w:val="009A226F"/>
    <w:rsid w:val="009A22C0"/>
    <w:rsid w:val="009A26E8"/>
    <w:rsid w:val="009C1BCA"/>
    <w:rsid w:val="009C2C7C"/>
    <w:rsid w:val="009C5D53"/>
    <w:rsid w:val="009C7F6C"/>
    <w:rsid w:val="009D1747"/>
    <w:rsid w:val="009D3CB1"/>
    <w:rsid w:val="009D4935"/>
    <w:rsid w:val="009D5040"/>
    <w:rsid w:val="009D7B31"/>
    <w:rsid w:val="009E016A"/>
    <w:rsid w:val="009E3AFA"/>
    <w:rsid w:val="009F0CC6"/>
    <w:rsid w:val="009F355E"/>
    <w:rsid w:val="00A32D2C"/>
    <w:rsid w:val="00A36DE3"/>
    <w:rsid w:val="00A54893"/>
    <w:rsid w:val="00A569FA"/>
    <w:rsid w:val="00A6444C"/>
    <w:rsid w:val="00A65DBE"/>
    <w:rsid w:val="00A77944"/>
    <w:rsid w:val="00A86A97"/>
    <w:rsid w:val="00AA1D61"/>
    <w:rsid w:val="00AA527E"/>
    <w:rsid w:val="00AA6F4D"/>
    <w:rsid w:val="00AA74AE"/>
    <w:rsid w:val="00AA7676"/>
    <w:rsid w:val="00AB028D"/>
    <w:rsid w:val="00AB5D80"/>
    <w:rsid w:val="00AC2350"/>
    <w:rsid w:val="00AC3C7B"/>
    <w:rsid w:val="00AC3F02"/>
    <w:rsid w:val="00AC49D9"/>
    <w:rsid w:val="00AC734B"/>
    <w:rsid w:val="00AD432C"/>
    <w:rsid w:val="00AE36DB"/>
    <w:rsid w:val="00B14475"/>
    <w:rsid w:val="00B14F6A"/>
    <w:rsid w:val="00B17EF7"/>
    <w:rsid w:val="00B21AF4"/>
    <w:rsid w:val="00B25938"/>
    <w:rsid w:val="00B302A5"/>
    <w:rsid w:val="00B33097"/>
    <w:rsid w:val="00B33F93"/>
    <w:rsid w:val="00B35FBC"/>
    <w:rsid w:val="00B400D1"/>
    <w:rsid w:val="00B41037"/>
    <w:rsid w:val="00B50660"/>
    <w:rsid w:val="00B52720"/>
    <w:rsid w:val="00B70B6A"/>
    <w:rsid w:val="00B754B5"/>
    <w:rsid w:val="00B8075D"/>
    <w:rsid w:val="00B848AE"/>
    <w:rsid w:val="00B854D5"/>
    <w:rsid w:val="00BA3194"/>
    <w:rsid w:val="00BA75FB"/>
    <w:rsid w:val="00BA7F0B"/>
    <w:rsid w:val="00BB4A66"/>
    <w:rsid w:val="00BD1F6D"/>
    <w:rsid w:val="00BE09C2"/>
    <w:rsid w:val="00BF032B"/>
    <w:rsid w:val="00BF2F35"/>
    <w:rsid w:val="00C00C5C"/>
    <w:rsid w:val="00C02A9B"/>
    <w:rsid w:val="00C16636"/>
    <w:rsid w:val="00C21EFF"/>
    <w:rsid w:val="00C22120"/>
    <w:rsid w:val="00C311ED"/>
    <w:rsid w:val="00C31DCE"/>
    <w:rsid w:val="00C32A39"/>
    <w:rsid w:val="00C32A6E"/>
    <w:rsid w:val="00C32BB1"/>
    <w:rsid w:val="00C35A2B"/>
    <w:rsid w:val="00C42AF8"/>
    <w:rsid w:val="00C43F71"/>
    <w:rsid w:val="00C473F3"/>
    <w:rsid w:val="00C51B7C"/>
    <w:rsid w:val="00C55365"/>
    <w:rsid w:val="00C65173"/>
    <w:rsid w:val="00C7278A"/>
    <w:rsid w:val="00C801DA"/>
    <w:rsid w:val="00C81CA5"/>
    <w:rsid w:val="00C8593C"/>
    <w:rsid w:val="00C86736"/>
    <w:rsid w:val="00CA16CD"/>
    <w:rsid w:val="00CA60AA"/>
    <w:rsid w:val="00CA78FD"/>
    <w:rsid w:val="00CB12F3"/>
    <w:rsid w:val="00CB2FE3"/>
    <w:rsid w:val="00CC3AFB"/>
    <w:rsid w:val="00CC401E"/>
    <w:rsid w:val="00CC4625"/>
    <w:rsid w:val="00CC69C8"/>
    <w:rsid w:val="00CD1D8E"/>
    <w:rsid w:val="00CE406E"/>
    <w:rsid w:val="00D049F3"/>
    <w:rsid w:val="00D2010D"/>
    <w:rsid w:val="00D356AD"/>
    <w:rsid w:val="00D35E31"/>
    <w:rsid w:val="00D4185B"/>
    <w:rsid w:val="00D44B41"/>
    <w:rsid w:val="00D46250"/>
    <w:rsid w:val="00D53358"/>
    <w:rsid w:val="00D65CB1"/>
    <w:rsid w:val="00D67AFD"/>
    <w:rsid w:val="00D701EC"/>
    <w:rsid w:val="00D70C5C"/>
    <w:rsid w:val="00D7111C"/>
    <w:rsid w:val="00D76669"/>
    <w:rsid w:val="00D771EE"/>
    <w:rsid w:val="00D80AE7"/>
    <w:rsid w:val="00D879B2"/>
    <w:rsid w:val="00D91191"/>
    <w:rsid w:val="00DA00C7"/>
    <w:rsid w:val="00DA3EC3"/>
    <w:rsid w:val="00DA5F48"/>
    <w:rsid w:val="00DC06B0"/>
    <w:rsid w:val="00DC56F8"/>
    <w:rsid w:val="00DD061F"/>
    <w:rsid w:val="00DD1D81"/>
    <w:rsid w:val="00DD4ADC"/>
    <w:rsid w:val="00DE36F9"/>
    <w:rsid w:val="00DE5910"/>
    <w:rsid w:val="00DE772D"/>
    <w:rsid w:val="00DE7F0B"/>
    <w:rsid w:val="00DF2145"/>
    <w:rsid w:val="00DF234C"/>
    <w:rsid w:val="00DF3ADA"/>
    <w:rsid w:val="00DF4740"/>
    <w:rsid w:val="00DF4D3C"/>
    <w:rsid w:val="00DF5BD7"/>
    <w:rsid w:val="00DF6073"/>
    <w:rsid w:val="00DF7970"/>
    <w:rsid w:val="00E11EA6"/>
    <w:rsid w:val="00E17247"/>
    <w:rsid w:val="00E26057"/>
    <w:rsid w:val="00E26F82"/>
    <w:rsid w:val="00E33E45"/>
    <w:rsid w:val="00E35B9A"/>
    <w:rsid w:val="00E41C0D"/>
    <w:rsid w:val="00E4599B"/>
    <w:rsid w:val="00E609F5"/>
    <w:rsid w:val="00E64A5F"/>
    <w:rsid w:val="00E70A8B"/>
    <w:rsid w:val="00E721B1"/>
    <w:rsid w:val="00E7361C"/>
    <w:rsid w:val="00E8041E"/>
    <w:rsid w:val="00E92B1D"/>
    <w:rsid w:val="00E93348"/>
    <w:rsid w:val="00E96E09"/>
    <w:rsid w:val="00EA22CD"/>
    <w:rsid w:val="00EB140E"/>
    <w:rsid w:val="00EC4BF6"/>
    <w:rsid w:val="00EC5D3D"/>
    <w:rsid w:val="00EC707A"/>
    <w:rsid w:val="00ED21DA"/>
    <w:rsid w:val="00ED3ABB"/>
    <w:rsid w:val="00ED6D4A"/>
    <w:rsid w:val="00EE3DEA"/>
    <w:rsid w:val="00EE45AC"/>
    <w:rsid w:val="00EE53A7"/>
    <w:rsid w:val="00EE5B68"/>
    <w:rsid w:val="00EF2FD6"/>
    <w:rsid w:val="00EF487B"/>
    <w:rsid w:val="00F04D14"/>
    <w:rsid w:val="00F058E1"/>
    <w:rsid w:val="00F074B1"/>
    <w:rsid w:val="00F11614"/>
    <w:rsid w:val="00F12F74"/>
    <w:rsid w:val="00F14A5A"/>
    <w:rsid w:val="00F15ABB"/>
    <w:rsid w:val="00F15D83"/>
    <w:rsid w:val="00F165CA"/>
    <w:rsid w:val="00F27EE0"/>
    <w:rsid w:val="00F31EF6"/>
    <w:rsid w:val="00F41CE6"/>
    <w:rsid w:val="00F41F69"/>
    <w:rsid w:val="00F437BE"/>
    <w:rsid w:val="00F5381F"/>
    <w:rsid w:val="00F55528"/>
    <w:rsid w:val="00F56B82"/>
    <w:rsid w:val="00F603FB"/>
    <w:rsid w:val="00F70409"/>
    <w:rsid w:val="00F81720"/>
    <w:rsid w:val="00F82433"/>
    <w:rsid w:val="00F84C40"/>
    <w:rsid w:val="00F964FE"/>
    <w:rsid w:val="00F972D7"/>
    <w:rsid w:val="00FA14F0"/>
    <w:rsid w:val="00FA3331"/>
    <w:rsid w:val="00FA60C0"/>
    <w:rsid w:val="00FA7519"/>
    <w:rsid w:val="00FB5C02"/>
    <w:rsid w:val="00FB741E"/>
    <w:rsid w:val="00FC00AB"/>
    <w:rsid w:val="00FC2347"/>
    <w:rsid w:val="00FD10FC"/>
    <w:rsid w:val="00FD6FAA"/>
    <w:rsid w:val="00FD7360"/>
    <w:rsid w:val="00FE71E6"/>
    <w:rsid w:val="00FF6EB6"/>
    <w:rsid w:val="086234BC"/>
    <w:rsid w:val="09D02643"/>
    <w:rsid w:val="0DBC4291"/>
    <w:rsid w:val="10C22DBA"/>
    <w:rsid w:val="11474DF0"/>
    <w:rsid w:val="11CC4EDB"/>
    <w:rsid w:val="13786F64"/>
    <w:rsid w:val="140856CF"/>
    <w:rsid w:val="142C56F6"/>
    <w:rsid w:val="16840CA4"/>
    <w:rsid w:val="1CD04C0C"/>
    <w:rsid w:val="1E170739"/>
    <w:rsid w:val="21017A8B"/>
    <w:rsid w:val="22D67F02"/>
    <w:rsid w:val="23385B1D"/>
    <w:rsid w:val="2E7229B5"/>
    <w:rsid w:val="2F1715DA"/>
    <w:rsid w:val="2F775ECB"/>
    <w:rsid w:val="3AC20B4F"/>
    <w:rsid w:val="414C5002"/>
    <w:rsid w:val="41713135"/>
    <w:rsid w:val="42ED2DE3"/>
    <w:rsid w:val="43B049A8"/>
    <w:rsid w:val="454664FF"/>
    <w:rsid w:val="4D1667BB"/>
    <w:rsid w:val="4ED010B8"/>
    <w:rsid w:val="52582DA9"/>
    <w:rsid w:val="5AB9245E"/>
    <w:rsid w:val="5B2A5F86"/>
    <w:rsid w:val="5CE3581F"/>
    <w:rsid w:val="5EDA34B6"/>
    <w:rsid w:val="5EEA4A69"/>
    <w:rsid w:val="678B43E3"/>
    <w:rsid w:val="691A4BD3"/>
    <w:rsid w:val="69877444"/>
    <w:rsid w:val="6B5D7261"/>
    <w:rsid w:val="6F0B0832"/>
    <w:rsid w:val="6F2D094A"/>
    <w:rsid w:val="6FB82F65"/>
    <w:rsid w:val="703800FD"/>
    <w:rsid w:val="743D7A4F"/>
    <w:rsid w:val="75AC73F8"/>
    <w:rsid w:val="780A60D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0" w:semiHidden="0" w:name="toc 1" w:locked="1"/>
    <w:lsdException w:uiPriority="0" w:semiHidden="0" w:name="toc 2" w:locked="1"/>
    <w:lsdException w:uiPriority="0" w:semiHidden="0" w:name="toc 3" w:locked="1"/>
    <w:lsdException w:uiPriority="0" w:semiHidden="0" w:name="toc 4" w:locked="1"/>
    <w:lsdException w:uiPriority="0" w:semiHidden="0" w:name="toc 5" w:locked="1"/>
    <w:lsdException w:uiPriority="0" w:semiHidden="0" w:name="toc 6" w:locked="1"/>
    <w:lsdException w:uiPriority="0" w:semiHidden="0" w:name="toc 7" w:locked="1"/>
    <w:lsdException w:uiPriority="0" w:semiHidden="0" w:name="toc 8" w:locked="1"/>
    <w:lsdException w:uiPriority="0" w:semiHidden="0" w:name="toc 9" w:locked="1"/>
    <w:lsdException w:qFormat="1" w:unhideWhenUsed="0" w:uiPriority="99" w:semiHidden="0"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ocked="1"/>
    <w:lsdException w:uiPriority="99" w:name="Salutation"/>
    <w:lsdException w:uiPriority="99" w:name="Date"/>
    <w:lsdException w:qFormat="1" w:unhideWhenUsed="0"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semiHidden="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link w:val="18"/>
    <w:qFormat/>
    <w:uiPriority w:val="99"/>
    <w:pPr>
      <w:keepNext/>
      <w:spacing w:line="360" w:lineRule="exact"/>
      <w:jc w:val="center"/>
      <w:outlineLvl w:val="0"/>
    </w:pPr>
    <w:rPr>
      <w:b/>
      <w:bCs/>
      <w:spacing w:val="-16"/>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3">
    <w:name w:val="Normal Indent"/>
    <w:basedOn w:val="1"/>
    <w:autoRedefine/>
    <w:qFormat/>
    <w:uiPriority w:val="99"/>
    <w:pPr>
      <w:ind w:firstLine="420" w:firstLineChars="200"/>
    </w:pPr>
  </w:style>
  <w:style w:type="paragraph" w:styleId="4">
    <w:name w:val="Document Map"/>
    <w:basedOn w:val="1"/>
    <w:link w:val="21"/>
    <w:autoRedefine/>
    <w:qFormat/>
    <w:uiPriority w:val="99"/>
    <w:rPr>
      <w:rFonts w:ascii="宋体"/>
      <w:sz w:val="18"/>
      <w:szCs w:val="18"/>
    </w:rPr>
  </w:style>
  <w:style w:type="paragraph" w:styleId="5">
    <w:name w:val="annotation text"/>
    <w:basedOn w:val="1"/>
    <w:link w:val="22"/>
    <w:autoRedefine/>
    <w:qFormat/>
    <w:uiPriority w:val="0"/>
    <w:pPr>
      <w:jc w:val="left"/>
    </w:pPr>
    <w:rPr>
      <w:szCs w:val="20"/>
    </w:rPr>
  </w:style>
  <w:style w:type="paragraph" w:styleId="6">
    <w:name w:val="Body Text"/>
    <w:basedOn w:val="1"/>
    <w:link w:val="19"/>
    <w:autoRedefine/>
    <w:semiHidden/>
    <w:qFormat/>
    <w:uiPriority w:val="99"/>
    <w:pPr>
      <w:spacing w:after="120"/>
    </w:pPr>
  </w:style>
  <w:style w:type="paragraph" w:styleId="7">
    <w:name w:val="Balloon Text"/>
    <w:basedOn w:val="1"/>
    <w:link w:val="23"/>
    <w:autoRedefine/>
    <w:qFormat/>
    <w:uiPriority w:val="99"/>
    <w:rPr>
      <w:sz w:val="18"/>
      <w:szCs w:val="18"/>
    </w:rPr>
  </w:style>
  <w:style w:type="paragraph" w:styleId="8">
    <w:name w:val="footer"/>
    <w:basedOn w:val="1"/>
    <w:link w:val="24"/>
    <w:autoRedefine/>
    <w:qFormat/>
    <w:uiPriority w:val="99"/>
    <w:pPr>
      <w:tabs>
        <w:tab w:val="center" w:pos="4153"/>
        <w:tab w:val="right" w:pos="8306"/>
      </w:tabs>
      <w:snapToGrid w:val="0"/>
      <w:jc w:val="left"/>
    </w:pPr>
    <w:rPr>
      <w:sz w:val="18"/>
      <w:szCs w:val="18"/>
    </w:rPr>
  </w:style>
  <w:style w:type="paragraph" w:styleId="9">
    <w:name w:val="header"/>
    <w:basedOn w:val="1"/>
    <w:link w:val="25"/>
    <w:autoRedefine/>
    <w:qFormat/>
    <w:uiPriority w:val="99"/>
    <w:pPr>
      <w:pBdr>
        <w:bottom w:val="single" w:color="auto" w:sz="6" w:space="1"/>
      </w:pBdr>
      <w:tabs>
        <w:tab w:val="center" w:pos="4153"/>
        <w:tab w:val="right" w:pos="8306"/>
      </w:tabs>
      <w:snapToGrid w:val="0"/>
      <w:jc w:val="center"/>
    </w:pPr>
    <w:rPr>
      <w:sz w:val="18"/>
      <w:szCs w:val="18"/>
    </w:rPr>
  </w:style>
  <w:style w:type="paragraph" w:styleId="10">
    <w:name w:val="Subtitle"/>
    <w:basedOn w:val="1"/>
    <w:next w:val="1"/>
    <w:link w:val="37"/>
    <w:autoRedefine/>
    <w:qFormat/>
    <w:locked/>
    <w:uiPriority w:val="99"/>
    <w:pPr>
      <w:spacing w:line="360" w:lineRule="auto"/>
      <w:ind w:firstLine="200" w:firstLineChars="200"/>
      <w:outlineLvl w:val="1"/>
    </w:pPr>
    <w:rPr>
      <w:rFonts w:ascii="Times New Roman" w:hAnsi="Times New Roman"/>
      <w:bCs/>
      <w:kern w:val="28"/>
      <w:szCs w:val="32"/>
    </w:rPr>
  </w:style>
  <w:style w:type="paragraph" w:styleId="11">
    <w:name w:val="Normal (Web)"/>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styleId="12">
    <w:name w:val="annotation subject"/>
    <w:basedOn w:val="5"/>
    <w:next w:val="5"/>
    <w:link w:val="35"/>
    <w:autoRedefine/>
    <w:semiHidden/>
    <w:unhideWhenUsed/>
    <w:qFormat/>
    <w:uiPriority w:val="99"/>
    <w:rPr>
      <w:b/>
      <w:bCs/>
      <w:szCs w:val="21"/>
    </w:rPr>
  </w:style>
  <w:style w:type="paragraph" w:styleId="13">
    <w:name w:val="Body Text First Indent"/>
    <w:basedOn w:val="6"/>
    <w:link w:val="20"/>
    <w:autoRedefine/>
    <w:semiHidden/>
    <w:qFormat/>
    <w:uiPriority w:val="99"/>
    <w:pPr>
      <w:adjustRightInd w:val="0"/>
      <w:snapToGrid w:val="0"/>
      <w:spacing w:after="0" w:line="336" w:lineRule="auto"/>
      <w:ind w:firstLine="480" w:firstLineChars="200"/>
    </w:pPr>
    <w:rPr>
      <w:rFonts w:ascii="宋体" w:hAnsi="宋体"/>
      <w:sz w:val="24"/>
      <w:szCs w:val="20"/>
    </w:rPr>
  </w:style>
  <w:style w:type="table" w:styleId="15">
    <w:name w:val="Table Grid"/>
    <w:basedOn w:val="14"/>
    <w:autoRedefine/>
    <w:qFormat/>
    <w:uiPriority w:val="9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annotation reference"/>
    <w:autoRedefine/>
    <w:qFormat/>
    <w:uiPriority w:val="0"/>
    <w:rPr>
      <w:rFonts w:cs="Times New Roman"/>
      <w:sz w:val="21"/>
    </w:rPr>
  </w:style>
  <w:style w:type="character" w:customStyle="1" w:styleId="18">
    <w:name w:val="标题 1 Char"/>
    <w:link w:val="2"/>
    <w:autoRedefine/>
    <w:qFormat/>
    <w:locked/>
    <w:uiPriority w:val="99"/>
    <w:rPr>
      <w:rFonts w:ascii="Calibri" w:hAnsi="Calibri" w:eastAsia="宋体" w:cs="Times New Roman"/>
      <w:b/>
      <w:bCs/>
      <w:spacing w:val="-16"/>
      <w:sz w:val="21"/>
      <w:szCs w:val="21"/>
    </w:rPr>
  </w:style>
  <w:style w:type="character" w:customStyle="1" w:styleId="19">
    <w:name w:val="正文文本 Char"/>
    <w:link w:val="6"/>
    <w:autoRedefine/>
    <w:semiHidden/>
    <w:qFormat/>
    <w:locked/>
    <w:uiPriority w:val="99"/>
    <w:rPr>
      <w:rFonts w:ascii="Calibri" w:hAnsi="Calibri" w:eastAsia="宋体" w:cs="Times New Roman"/>
      <w:kern w:val="2"/>
      <w:sz w:val="21"/>
      <w:szCs w:val="21"/>
    </w:rPr>
  </w:style>
  <w:style w:type="character" w:customStyle="1" w:styleId="20">
    <w:name w:val="正文首行缩进 Char1"/>
    <w:link w:val="13"/>
    <w:autoRedefine/>
    <w:semiHidden/>
    <w:qFormat/>
    <w:locked/>
    <w:uiPriority w:val="99"/>
    <w:rPr>
      <w:rFonts w:ascii="宋体" w:hAnsi="宋体" w:eastAsia="宋体" w:cs="Times New Roman"/>
      <w:kern w:val="2"/>
      <w:sz w:val="24"/>
    </w:rPr>
  </w:style>
  <w:style w:type="character" w:customStyle="1" w:styleId="21">
    <w:name w:val="文档结构图 Char"/>
    <w:link w:val="4"/>
    <w:autoRedefine/>
    <w:semiHidden/>
    <w:qFormat/>
    <w:locked/>
    <w:uiPriority w:val="99"/>
    <w:rPr>
      <w:rFonts w:ascii="宋体" w:hAnsi="Calibri" w:eastAsia="宋体" w:cs="Times New Roman"/>
      <w:kern w:val="2"/>
      <w:sz w:val="18"/>
      <w:szCs w:val="18"/>
    </w:rPr>
  </w:style>
  <w:style w:type="character" w:customStyle="1" w:styleId="22">
    <w:name w:val="批注文字 Char"/>
    <w:link w:val="5"/>
    <w:autoRedefine/>
    <w:qFormat/>
    <w:locked/>
    <w:uiPriority w:val="0"/>
    <w:rPr>
      <w:kern w:val="2"/>
      <w:sz w:val="21"/>
    </w:rPr>
  </w:style>
  <w:style w:type="character" w:customStyle="1" w:styleId="23">
    <w:name w:val="批注框文本 Char"/>
    <w:link w:val="7"/>
    <w:semiHidden/>
    <w:qFormat/>
    <w:locked/>
    <w:uiPriority w:val="99"/>
    <w:rPr>
      <w:rFonts w:ascii="Calibri" w:hAnsi="Calibri" w:eastAsia="宋体" w:cs="Times New Roman"/>
      <w:kern w:val="2"/>
      <w:sz w:val="18"/>
      <w:szCs w:val="18"/>
    </w:rPr>
  </w:style>
  <w:style w:type="character" w:customStyle="1" w:styleId="24">
    <w:name w:val="页脚 Char"/>
    <w:link w:val="8"/>
    <w:autoRedefine/>
    <w:qFormat/>
    <w:locked/>
    <w:uiPriority w:val="99"/>
    <w:rPr>
      <w:rFonts w:ascii="Calibri" w:hAnsi="Calibri" w:eastAsia="宋体" w:cs="Times New Roman"/>
      <w:kern w:val="2"/>
      <w:sz w:val="18"/>
      <w:szCs w:val="18"/>
    </w:rPr>
  </w:style>
  <w:style w:type="character" w:customStyle="1" w:styleId="25">
    <w:name w:val="页眉 Char"/>
    <w:link w:val="9"/>
    <w:autoRedefine/>
    <w:qFormat/>
    <w:locked/>
    <w:uiPriority w:val="99"/>
    <w:rPr>
      <w:rFonts w:ascii="Calibri" w:hAnsi="Calibri" w:eastAsia="宋体" w:cs="Times New Roman"/>
      <w:kern w:val="2"/>
      <w:sz w:val="18"/>
      <w:szCs w:val="18"/>
    </w:rPr>
  </w:style>
  <w:style w:type="paragraph" w:customStyle="1" w:styleId="26">
    <w:name w:val="列出段落1"/>
    <w:basedOn w:val="1"/>
    <w:autoRedefine/>
    <w:qFormat/>
    <w:uiPriority w:val="99"/>
    <w:pPr>
      <w:ind w:firstLine="420" w:firstLineChars="200"/>
    </w:pPr>
  </w:style>
  <w:style w:type="character" w:customStyle="1" w:styleId="27">
    <w:name w:val="正文文本 (2)_"/>
    <w:link w:val="28"/>
    <w:autoRedefine/>
    <w:qFormat/>
    <w:locked/>
    <w:uiPriority w:val="99"/>
    <w:rPr>
      <w:rFonts w:ascii="宋体" w:hAnsi="宋体" w:eastAsia="宋体" w:cs="Times New Roman"/>
      <w:sz w:val="22"/>
      <w:shd w:val="clear" w:color="auto" w:fill="FFFFFF"/>
    </w:rPr>
  </w:style>
  <w:style w:type="paragraph" w:customStyle="1" w:styleId="28">
    <w:name w:val="正文文本 (2)"/>
    <w:basedOn w:val="1"/>
    <w:link w:val="27"/>
    <w:autoRedefine/>
    <w:qFormat/>
    <w:uiPriority w:val="99"/>
    <w:pPr>
      <w:shd w:val="clear" w:color="auto" w:fill="FFFFFF"/>
      <w:spacing w:line="403" w:lineRule="exact"/>
      <w:ind w:hanging="240"/>
      <w:jc w:val="distribute"/>
    </w:pPr>
    <w:rPr>
      <w:rFonts w:ascii="宋体" w:hAnsi="宋体"/>
      <w:kern w:val="0"/>
      <w:sz w:val="22"/>
      <w:szCs w:val="20"/>
    </w:rPr>
  </w:style>
  <w:style w:type="character" w:customStyle="1" w:styleId="29">
    <w:name w:val="批注文字 字符1"/>
    <w:autoRedefine/>
    <w:semiHidden/>
    <w:qFormat/>
    <w:uiPriority w:val="99"/>
    <w:rPr>
      <w:rFonts w:ascii="Calibri" w:hAnsi="Calibri" w:eastAsia="宋体" w:cs="Times New Roman"/>
      <w:kern w:val="2"/>
      <w:sz w:val="21"/>
      <w:szCs w:val="21"/>
    </w:rPr>
  </w:style>
  <w:style w:type="character" w:customStyle="1" w:styleId="30">
    <w:name w:val="批注文字 Char1"/>
    <w:autoRedefine/>
    <w:semiHidden/>
    <w:qFormat/>
    <w:locked/>
    <w:uiPriority w:val="99"/>
    <w:rPr>
      <w:rFonts w:ascii="Tahoma" w:hAnsi="Tahoma" w:eastAsia="微软雅黑" w:cs="Times New Roman"/>
      <w:sz w:val="22"/>
      <w:szCs w:val="22"/>
    </w:rPr>
  </w:style>
  <w:style w:type="character" w:customStyle="1" w:styleId="31">
    <w:name w:val="正文首行缩进 Char"/>
    <w:autoRedefine/>
    <w:semiHidden/>
    <w:qFormat/>
    <w:uiPriority w:val="99"/>
    <w:rPr>
      <w:rFonts w:ascii="Calibri" w:hAnsi="Calibri" w:eastAsia="宋体" w:cs="Times New Roman"/>
      <w:kern w:val="2"/>
      <w:sz w:val="21"/>
      <w:szCs w:val="21"/>
    </w:rPr>
  </w:style>
  <w:style w:type="character" w:customStyle="1" w:styleId="32">
    <w:name w:val="正文格式 Char"/>
    <w:link w:val="33"/>
    <w:autoRedefine/>
    <w:qFormat/>
    <w:locked/>
    <w:uiPriority w:val="99"/>
    <w:rPr>
      <w:rFonts w:ascii="宋体" w:eastAsia="宋体"/>
      <w:sz w:val="24"/>
    </w:rPr>
  </w:style>
  <w:style w:type="paragraph" w:customStyle="1" w:styleId="33">
    <w:name w:val="正文格式"/>
    <w:basedOn w:val="1"/>
    <w:link w:val="32"/>
    <w:autoRedefine/>
    <w:qFormat/>
    <w:uiPriority w:val="99"/>
    <w:pPr>
      <w:spacing w:line="360" w:lineRule="auto"/>
      <w:ind w:firstLine="482"/>
    </w:pPr>
    <w:rPr>
      <w:rFonts w:ascii="宋体" w:hAnsi="宋体"/>
      <w:kern w:val="0"/>
      <w:sz w:val="24"/>
      <w:szCs w:val="24"/>
    </w:rPr>
  </w:style>
  <w:style w:type="paragraph" w:styleId="34">
    <w:name w:val="List Paragraph"/>
    <w:basedOn w:val="1"/>
    <w:autoRedefine/>
    <w:qFormat/>
    <w:uiPriority w:val="99"/>
    <w:pPr>
      <w:ind w:firstLine="420" w:firstLineChars="200"/>
    </w:pPr>
  </w:style>
  <w:style w:type="character" w:customStyle="1" w:styleId="35">
    <w:name w:val="批注主题 Char"/>
    <w:link w:val="12"/>
    <w:autoRedefine/>
    <w:semiHidden/>
    <w:qFormat/>
    <w:uiPriority w:val="99"/>
    <w:rPr>
      <w:b/>
      <w:bCs/>
      <w:kern w:val="2"/>
      <w:sz w:val="21"/>
      <w:szCs w:val="21"/>
    </w:rPr>
  </w:style>
  <w:style w:type="paragraph" w:customStyle="1" w:styleId="36">
    <w:name w:val="Default"/>
    <w:basedOn w:val="1"/>
    <w:next w:val="1"/>
    <w:autoRedefine/>
    <w:qFormat/>
    <w:uiPriority w:val="0"/>
    <w:pPr>
      <w:autoSpaceDE w:val="0"/>
      <w:autoSpaceDN w:val="0"/>
      <w:adjustRightInd w:val="0"/>
    </w:pPr>
    <w:rPr>
      <w:rFonts w:ascii="宋体" w:hAnsi="Courier New" w:cs="宋体"/>
      <w:color w:val="000000"/>
      <w:sz w:val="24"/>
      <w:szCs w:val="24"/>
    </w:rPr>
  </w:style>
  <w:style w:type="character" w:customStyle="1" w:styleId="37">
    <w:name w:val="副标题 Char"/>
    <w:link w:val="10"/>
    <w:autoRedefine/>
    <w:qFormat/>
    <w:uiPriority w:val="99"/>
    <w:rPr>
      <w:rFonts w:ascii="Times New Roman" w:hAnsi="Times New Roman"/>
      <w:bCs/>
      <w:kern w:val="28"/>
      <w:sz w:val="21"/>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8AC20-E5C7-484D-9576-74057B133C1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2796</Words>
  <Characters>3337</Characters>
  <Lines>24</Lines>
  <Paragraphs>7</Paragraphs>
  <TotalTime>0</TotalTime>
  <ScaleCrop>false</ScaleCrop>
  <LinksUpToDate>false</LinksUpToDate>
  <CharactersWithSpaces>3404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2018-01-11T08:59:00Z</dcterms:created>
  <dc:creator>林福青</dc:creator>
  <cp:lastModifiedBy>尚全</cp:lastModifiedBy>
  <cp:lastPrinted>2024-05-29T07:09:00Z</cp:lastPrinted>
  <dcterms:modified xsi:type="dcterms:W3CDTF">2024-06-25T01:41:08Z</dcterms:modified>
  <cp:revision>279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C67F57BC4DD349F9BB73E18078A0219C</vt:lpwstr>
  </property>
</Properties>
</file>