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E22B5">
      <w:pPr>
        <w:widowControl/>
        <w:spacing w:before="100" w:beforeAutospacing="1" w:after="100" w:afterAutospacing="1" w:line="600" w:lineRule="auto"/>
        <w:jc w:val="center"/>
        <w:rPr>
          <w:rFonts w:hint="default" w:ascii="Times New Roman" w:hAnsi="Times New Roman" w:eastAsia="宋体" w:cs="Times New Roman"/>
          <w:b/>
          <w:bCs/>
          <w:kern w:val="0"/>
          <w:sz w:val="48"/>
          <w:szCs w:val="4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48"/>
          <w:szCs w:val="48"/>
          <w:lang w:eastAsia="zh-CN"/>
        </w:rPr>
        <w:t>茂名市电白区人民医院扩建项目</w:t>
      </w:r>
      <w:r>
        <w:rPr>
          <w:rFonts w:hint="default" w:ascii="Times New Roman" w:hAnsi="Times New Roman" w:eastAsia="宋体" w:cs="Times New Roman"/>
          <w:b/>
          <w:bCs/>
          <w:kern w:val="0"/>
          <w:sz w:val="48"/>
          <w:szCs w:val="48"/>
        </w:rPr>
        <w:t>竣工环境保护验收意见</w:t>
      </w:r>
    </w:p>
    <w:p w14:paraId="1BBFB993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根据《建设项目竣工环境保护验收暂行办法》的规定，</w:t>
      </w:r>
      <w:bookmarkStart w:id="0" w:name="_GoBack"/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日</w:t>
      </w:r>
      <w:bookmarkEnd w:id="0"/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，我院组织召开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茂名市电白区人民医院扩建项目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竣工环境保护验收现场检查会。验收组成员有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茂名市电白区人民医院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（建设单位）、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广东恒辉建设集团股份有限公司（施工单位）、广州高新工程顾问有限公司（监理单位）、广东三正检测技术有限公司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（验收监测单位）等代表，并特邀3名专家组成。验收组现场核实了本项目配套的废气、废水、噪声、固废环境保护设施的建设与运行情况，查阅了相关资料，并对照《建设项目竣工环境保护验收暂行办法》，严格依照国家有关法律法规、建设项目竣工环境保护验收技术规范及指南、本项目环境影响报告书和批复等，经认真讨论后形成了现场验收意见。验收意见如下：</w:t>
      </w:r>
    </w:p>
    <w:p w14:paraId="253EEBFC">
      <w:pPr>
        <w:pStyle w:val="25"/>
        <w:numPr>
          <w:ilvl w:val="0"/>
          <w:numId w:val="1"/>
        </w:numPr>
        <w:spacing w:line="720" w:lineRule="exact"/>
        <w:ind w:firstLineChars="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工程建设的基本情况</w:t>
      </w:r>
    </w:p>
    <w:p w14:paraId="79EFE322">
      <w:pPr>
        <w:spacing w:line="720" w:lineRule="exact"/>
        <w:ind w:firstLine="803" w:firstLineChars="250"/>
        <w:outlineLvl w:val="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（一）建设地点、规模、主要建设内容</w:t>
      </w:r>
    </w:p>
    <w:p w14:paraId="02E97F39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茂名市电白区人民医院扩建项目位于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eastAsia="zh-CN"/>
        </w:rPr>
        <w:t>茂名市电白区水东镇上排路3号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。医院现设有急诊科、内科、外科、儿科、产科、妇科、五官科、皮肤科、中医科、麻醉科、康复理疗科、传染科、肿瘤科、全科医学科等。茂名市电白区人民医院现有编制床位900张，其中感染科床30张。本次扩建项目综合住院楼新增250张床位，改扩建后全院共1150张床位，员工1239人，日门诊量约1600人次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。项目配套建设废水、废气、固废治理等环保设施设备。</w:t>
      </w:r>
    </w:p>
    <w:p w14:paraId="52C26886">
      <w:pPr>
        <w:spacing w:line="720" w:lineRule="exact"/>
        <w:ind w:firstLine="803" w:firstLineChars="250"/>
        <w:outlineLvl w:val="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（二）建设过程及环保审批情况</w:t>
      </w:r>
    </w:p>
    <w:p w14:paraId="0730CD14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茂名市电白区人民医院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委托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eastAsia="zh-CN"/>
        </w:rPr>
        <w:t>广东环科技术咨询有限公司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于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月完成《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茂名市电白区人民医院扩建项目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环境影响报告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》编制并送审，于20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日通过了茂名市生态环境局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电白分局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的审批，批复文号为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eastAsia="zh-CN"/>
        </w:rPr>
        <w:t>电环建[2017]60号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。项目于20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月开工，项目从立项至调试过程中，无环境投诉记录等。</w:t>
      </w:r>
    </w:p>
    <w:p w14:paraId="76382E10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月，委托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广东三正检测技术有限公司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开展验收监测工作。</w:t>
      </w:r>
    </w:p>
    <w:p w14:paraId="644C05AF">
      <w:pPr>
        <w:spacing w:line="720" w:lineRule="exact"/>
        <w:ind w:firstLine="803" w:firstLineChars="250"/>
        <w:outlineLvl w:val="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（三）投资情况</w:t>
      </w:r>
    </w:p>
    <w:p w14:paraId="5382FDBD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项目工程实际总投资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34764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万元，环保投资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510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万元，占总投资的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1.46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%。</w:t>
      </w:r>
    </w:p>
    <w:p w14:paraId="634D1C77">
      <w:pPr>
        <w:spacing w:line="720" w:lineRule="exact"/>
        <w:ind w:firstLine="803" w:firstLineChars="250"/>
        <w:outlineLvl w:val="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（四）验收范围</w:t>
      </w:r>
    </w:p>
    <w:p w14:paraId="2049F526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本次验收范围为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茂名市电白区人民医院扩建项目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的废气、废水、噪声、固废治理设施。涉及辐射的设施不包括在本次验收范围内。</w:t>
      </w:r>
    </w:p>
    <w:p w14:paraId="504E6634">
      <w:pPr>
        <w:pStyle w:val="25"/>
        <w:numPr>
          <w:ilvl w:val="0"/>
          <w:numId w:val="1"/>
        </w:numPr>
        <w:spacing w:line="720" w:lineRule="exact"/>
        <w:ind w:firstLineChars="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项目变更有关情况</w:t>
      </w:r>
    </w:p>
    <w:p w14:paraId="6D450F56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本次验收对照《污染影响类建设项目重大变动清单（试行）》（环办环评函〔2020〕688号）要求，从建设项目性质、规模、生产工艺和环境保护措施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个核心因素开展重大变动合规性判定，具体如下：</w:t>
      </w:r>
    </w:p>
    <w:p w14:paraId="7A9E724B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（一）项目性质：项目仍为医院扩建工程，核心综合医疗诊疗服务功能未发生改变，未新增非医疗类污染型生产功能；仅取消感染内科楼建设、缩减传染病诊疗相关内容，未改变项目核心功能与性质，不属于重大变动。</w:t>
      </w:r>
    </w:p>
    <w:p w14:paraId="252B7459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（二）项目规模：扩建后全院实际总床位1150张，较环评设计值减少31.55%；总建筑面积106667.19㎡，较环评设计值减少2.95%，无超规模建设。项目整体规模缩减，各类污染物排放总量均远低于环评核定的总量管控指标，不存在清单规定的规模类重大变动情形，不属于重大变动。</w:t>
      </w:r>
    </w:p>
    <w:p w14:paraId="18DBFA78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）生产工艺：核心医疗诊疗工艺未发生重大变化，未新增污染型工艺与特征污染因子；仅将污水处理消毒剂由二氧化氯调整为含氯消毒粉，消毒原理、控制指标与污染因子均未改变，其余原辅材料及物料储运方式无变化，不属于重大变动。</w:t>
      </w:r>
    </w:p>
    <w:p w14:paraId="3D260387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）环境保护措施：污水处理站及传染性医疗废水消毒池按环评要求建设，消毒剂调整未降低处理效率与达标能力；新增1台备用发电机，配套废气排气筒仍按环评要求设置，未降低废气治理要求。其余废水、废气、噪声、固废及环境风险防范措施均与环评一致，未导致不利环境影响加重，不属于重大变动。</w:t>
      </w:r>
    </w:p>
    <w:p w14:paraId="6AB3C9F5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本建设项目的性质、规模、地点、采用的生产工艺均与环境影响报告书及审批内容基本一致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>无发生重大变动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。</w:t>
      </w:r>
    </w:p>
    <w:p w14:paraId="0E579985">
      <w:pPr>
        <w:pStyle w:val="25"/>
        <w:widowControl/>
        <w:numPr>
          <w:ilvl w:val="0"/>
          <w:numId w:val="1"/>
        </w:numPr>
        <w:spacing w:line="720" w:lineRule="exact"/>
        <w:ind w:left="0" w:firstLine="851" w:firstLineChars="0"/>
        <w:jc w:val="left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废气、废水、噪声、固废环境保护措施及环境风险防范措施落实情况</w:t>
      </w:r>
    </w:p>
    <w:p w14:paraId="51A92ACE">
      <w:pPr>
        <w:spacing w:line="720" w:lineRule="exact"/>
        <w:ind w:firstLine="803" w:firstLineChars="250"/>
        <w:outlineLvl w:val="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val="en-US" w:eastAsia="zh-CN"/>
        </w:rPr>
        <w:t>废水</w:t>
      </w: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排放情况及治理措施</w:t>
      </w:r>
    </w:p>
    <w:p w14:paraId="4D9742C1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项目废水采用“分类预处理+格栅均质调节+接触氧化生化处理+末端消毒”工艺处理，污水处理站设计处理能力800m³/d。处理后出水pH值、化学需氧量、悬浮物、粪大肠菌群等所有管控指标，均满足《医疗机构水污染物排放标准》（GB18466-2005）表2预处理标准及电白区城区污水处理厂进水标准的较严值，通过市政污水管网排入电白区城区污水处理厂深度处理。</w:t>
      </w:r>
    </w:p>
    <w:p w14:paraId="3EE8C51F">
      <w:pPr>
        <w:spacing w:line="720" w:lineRule="exact"/>
        <w:ind w:firstLine="803" w:firstLineChars="250"/>
        <w:outlineLvl w:val="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（二）废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val="en-US" w:eastAsia="zh-CN"/>
        </w:rPr>
        <w:t>气</w:t>
      </w: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排放情况及治理措施</w:t>
      </w:r>
    </w:p>
    <w:p w14:paraId="6EEEABCB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有组织废气方面，污水处理站臭气经密闭收集+生物除臭装置处理后通过15m高排气筒排放；2台备用发电机尾气经水喷淋净化后，分别通过15m高排气筒排放，各项污染物排放浓度、速率均满足对应标准要求。</w:t>
      </w:r>
    </w:p>
    <w:p w14:paraId="4450F1E8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无组织废气方面，污水处理构筑物全密闭加盖，废气全部收集处理；地下车库采用机械通风系统，尾气引至地面排放。</w:t>
      </w:r>
    </w:p>
    <w:p w14:paraId="705D395B">
      <w:pPr>
        <w:spacing w:line="720" w:lineRule="exact"/>
        <w:ind w:firstLine="803" w:firstLineChars="250"/>
        <w:outlineLvl w:val="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（三）噪声排放情况及治理措施</w:t>
      </w:r>
    </w:p>
    <w:p w14:paraId="7AA75ACF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项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目主要噪声源为污水处理站水泵、风机，备用发电机及空调机组等，通过选用低噪声设备、基础减振、管道软接、设备房隔声、进出口消声等综合措施治理。满足《工业企业厂界环境噪声排放标准》（GB12348-2008）2类标准要求，对周边敏感点无明显影响。</w:t>
      </w:r>
    </w:p>
    <w:p w14:paraId="0153AE0A">
      <w:pPr>
        <w:spacing w:line="720" w:lineRule="exact"/>
        <w:ind w:firstLine="803" w:firstLineChars="250"/>
        <w:outlineLvl w:val="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（四）固废排放情况及治理措施</w:t>
      </w:r>
    </w:p>
    <w:p w14:paraId="2F73A328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项目固体废物实行分类收集、规范处置。生活垃圾由当地环卫部门定期清运；医疗废物、污水处理站污泥、检验室废液等危险废物，分别委托具备相应资质的茂名粤西危险废物处理中心、中机科技发展（茂名）有限公司处置。危险废物暂存间建设符合《危险废物贮存污染控制标准》要求，转移联单及台账齐全，处置去向合规。</w:t>
      </w:r>
    </w:p>
    <w:p w14:paraId="0246FE8D">
      <w:pPr>
        <w:spacing w:line="720" w:lineRule="exact"/>
        <w:ind w:firstLine="803" w:firstLineChars="250"/>
        <w:outlineLvl w:val="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（五）环境风险防范措施落实情况</w:t>
      </w:r>
    </w:p>
    <w:p w14:paraId="78A01736">
      <w:pPr>
        <w:spacing w:line="720" w:lineRule="exact"/>
        <w:ind w:firstLine="800" w:firstLineChars="25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已按《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茂名市电白区人民医院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突发环境事件应急预案》要求落实。</w:t>
      </w:r>
    </w:p>
    <w:p w14:paraId="30A76CB7">
      <w:pPr>
        <w:pStyle w:val="25"/>
        <w:widowControl/>
        <w:numPr>
          <w:ilvl w:val="0"/>
          <w:numId w:val="1"/>
        </w:numPr>
        <w:spacing w:line="720" w:lineRule="exact"/>
        <w:ind w:left="0" w:firstLine="851" w:firstLineChars="0"/>
        <w:jc w:val="left"/>
        <w:rPr>
          <w:rFonts w:hint="default" w:ascii="Times New Roman" w:hAnsi="Times New Roman" w:eastAsia="宋体" w:cs="Times New Roman"/>
          <w:b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  <w:highlight w:val="none"/>
        </w:rPr>
        <w:t>环境保护设施运行效果和工程建设对环境的影响</w:t>
      </w:r>
    </w:p>
    <w:p w14:paraId="2202859E">
      <w:pPr>
        <w:spacing w:line="720" w:lineRule="exact"/>
        <w:ind w:firstLine="803" w:firstLineChars="250"/>
        <w:outlineLvl w:val="0"/>
        <w:rPr>
          <w:rFonts w:hint="default" w:ascii="Times New Roman" w:hAnsi="Times New Roman" w:eastAsia="宋体" w:cs="Times New Roman"/>
          <w:b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  <w:highlight w:val="none"/>
        </w:rPr>
        <w:t>（一）污染物达标排放情况</w:t>
      </w:r>
    </w:p>
    <w:p w14:paraId="55CCCFC5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1、废气</w:t>
      </w:r>
    </w:p>
    <w:p w14:paraId="11BC18FE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有组织排放</w:t>
      </w:r>
    </w:p>
    <w:p w14:paraId="524A7079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本项目有组织废气主要包括污水处理站臭气和备用柴油发电机废气。</w:t>
      </w:r>
    </w:p>
    <w:p w14:paraId="2BFFCF85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污水处理站臭气：采用生物除臭工艺处理，排气筒高度15m，执行《恶臭污染物排放标准》（GB14554-1993）表2标准。监测结果显示，处理后氨排放速率最大值为1.7×10⁻³kg/h，远低于4.9kg/h的限值；硫化氢排放速率最大值为1.2×10⁻⁴kg/h，远低于0.33kg/h的限值；臭气浓度最大值为977（无量纲），低于2000（无量纲）的限值，所有指标均达标排放。</w:t>
      </w:r>
    </w:p>
    <w:p w14:paraId="7E6C59BB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备用柴油发电机废气：共设2台备用发电机，排气筒高度均为15m，执行广东省《大气污染物排放限值》（DB44/27-2001）第二时段二级标准。监测结果显示，两台发电机排放的颗粒物最大浓度为30.1mg/L（标准限值120mg/L），二氧化硫最大浓度为35mg/L（标准限值500mg/L），氮氧化物最大浓度为77mg/L（标准限值120mg/L），各项污染物浓度及排放速率均符合标准要求，达标率100%。</w:t>
      </w:r>
    </w:p>
    <w:p w14:paraId="58BAED94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无组织排放</w:t>
      </w:r>
    </w:p>
    <w:p w14:paraId="2CBBE1EF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本项目无组织废气主要来源于污水处理站和地下车库。</w:t>
      </w:r>
    </w:p>
    <w:p w14:paraId="6BDC3FE2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污水处理站无组织废气：在污水处理站周边布设1个上风向参照点和3个下风向监控点，执行《医疗机构水污染物排放标准》（GB18466-2005）表3标准。监测结果显示，甲烷浓度最大值为1.65×10⁻⁴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，远低于1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%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的限值；氯气、硫化氢均未检出；氨浓度最大值为0.226mg/m³，低于1.0mg/m³的限值；臭气浓度均&lt;10（无量纲），符合10（无量纲）的限值，所有指标均达标。</w:t>
      </w:r>
    </w:p>
    <w:p w14:paraId="63F73406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地下车库无组织废气：在地下车库周边布设1个上风向参照点和3个下风向监控点，执行广东省《大气污染物排放限值》（DB44/27-2001）第二时段无组织监控浓度限值。监测结果显示，非甲烷总烃最大浓度为0.68mg/m³（标准限值4.0mg/m³），氮氧化物最大浓度为0.081mg/m³（标准限值0.12mg/m³），一氧化碳最大浓度为0.5mg/m³（标准限值8mg/m³），各项指标均达标。</w:t>
      </w:r>
    </w:p>
    <w:p w14:paraId="2DB4B5E1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2、废水</w:t>
      </w:r>
    </w:p>
    <w:p w14:paraId="7AB99041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本项目废水经自建污水处理站处理后排放至电白区城区污水处理厂，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val="en-US" w:eastAsia="zh-CN"/>
        </w:rPr>
        <w:t>出水水质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执行《医疗机构水污染物排放标准》（GB18466-2005）表2预处理标准及电白区城区污水处理厂进水标准的较严值。</w:t>
      </w:r>
    </w:p>
    <w:p w14:paraId="0259F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监测结果显示，污水处理站出水口pH值范围为 6.9~7.1，悬浮物平均浓度为 14mg/L，化学需氧量平均浓度为 70mg/L，五日生化需氧量平均浓度为18.0mg/L，氨氮平均浓度为1.60mg/L，总氮平均浓度为4.26mg/L，动植物油平均浓度为0.70mg/L，阴离子表面活性剂平均浓度为0.35mg/L，总磷平均浓度为 1.59mg/L，总氯平均浓度为3.33mg/L，粪大肠菌群平均浓度为2.2×10²MPN/L。监测期间污水处理站出水水质稳定，未出现超标现象。</w:t>
      </w:r>
    </w:p>
    <w:p w14:paraId="5C0D6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3、噪声</w:t>
      </w:r>
    </w:p>
    <w:p w14:paraId="322ED9A0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验收监测期间，在项目厂界东北、东南、西南、西北侧外1米处共布设4个噪声监测点位，执行《工业企业厂界环境噪声排放标准》（GB12348-2008）2类区标准（昼间60dB(A)，夜间50dB(A)）。</w:t>
      </w:r>
    </w:p>
    <w:p w14:paraId="0985CBA3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监测结果显示，各点位昼间噪声检测值范围为56~58dB(A)，夜间噪声检测值范围为46~48dB(A)，均低于对应标准限值。监测期间医院运营工况稳定，气象条件符合噪声监测技术规范要求，项目厂界噪声排放全部达标，未出现超标现象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CE1E0BD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4、固废</w:t>
      </w:r>
    </w:p>
    <w:p w14:paraId="3077992A">
      <w:pPr>
        <w:spacing w:line="360" w:lineRule="auto"/>
        <w:ind w:left="0" w:leftChars="0"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本项目固体废物管理已遵照《中华人民共和国固体废物污染环境防治法》和《广东省固体废物污染环境防治条例》的相关规定。一般固废暂存符合《一般工业固体废物贮存、处置场污染物控制标准》（GB18599-2020）要求；医疗废物暂存符合《危险废物贮存污染控制标准》《GB18597-2001》（2013年修改版）要求；污水处理站产生的污泥处置管理符合《医疗机构水污染物排放标准》（GBl8466-2005）中的医疗机构污泥控制标准。</w:t>
      </w:r>
    </w:p>
    <w:p w14:paraId="773BA650">
      <w:pPr>
        <w:spacing w:line="720" w:lineRule="exact"/>
        <w:ind w:firstLine="803" w:firstLineChars="250"/>
        <w:outlineLvl w:val="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（二）污染物排放总量</w:t>
      </w:r>
    </w:p>
    <w:p w14:paraId="466844E5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根据项目环境影响报告书及批复要求，本项目不设废气、废水污染物总量控制指标。</w:t>
      </w:r>
    </w:p>
    <w:p w14:paraId="2927EC85">
      <w:pPr>
        <w:spacing w:line="720" w:lineRule="exact"/>
        <w:ind w:firstLine="803" w:firstLineChars="250"/>
        <w:outlineLvl w:val="0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（三）存在的主要问题</w:t>
      </w:r>
    </w:p>
    <w:p w14:paraId="7BA9704C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无。</w:t>
      </w:r>
    </w:p>
    <w:p w14:paraId="2E46067A">
      <w:pPr>
        <w:pStyle w:val="25"/>
        <w:widowControl/>
        <w:numPr>
          <w:ilvl w:val="0"/>
          <w:numId w:val="1"/>
        </w:numPr>
        <w:spacing w:line="720" w:lineRule="exact"/>
        <w:ind w:firstLineChars="0"/>
        <w:jc w:val="left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其他需要说明的事项</w:t>
      </w:r>
    </w:p>
    <w:p w14:paraId="4F733B54">
      <w:pPr>
        <w:spacing w:line="720" w:lineRule="exact"/>
        <w:ind w:firstLine="640" w:firstLineChars="200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无。</w:t>
      </w:r>
    </w:p>
    <w:p w14:paraId="12B7EA86">
      <w:pPr>
        <w:pStyle w:val="25"/>
        <w:widowControl/>
        <w:numPr>
          <w:ilvl w:val="0"/>
          <w:numId w:val="1"/>
        </w:numPr>
        <w:spacing w:line="720" w:lineRule="exact"/>
        <w:ind w:firstLineChars="0"/>
        <w:jc w:val="left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验收结论</w:t>
      </w:r>
    </w:p>
    <w:p w14:paraId="34ACC476">
      <w:pPr>
        <w:widowControl/>
        <w:spacing w:line="720" w:lineRule="exact"/>
        <w:ind w:firstLine="640" w:firstLineChars="200"/>
        <w:jc w:val="left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茂名市电白区人民医院扩建项目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在实施过程中基本按环境影响评价文件及其批复要求，基本配套建设并落实了相应的环境保护措施，验收合格，同意主体工程正式投入运营。</w:t>
      </w:r>
    </w:p>
    <w:p w14:paraId="62F9BC08">
      <w:pPr>
        <w:pStyle w:val="25"/>
        <w:widowControl/>
        <w:numPr>
          <w:ilvl w:val="0"/>
          <w:numId w:val="1"/>
        </w:numPr>
        <w:spacing w:line="720" w:lineRule="exact"/>
        <w:ind w:firstLineChars="0"/>
        <w:jc w:val="left"/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2"/>
          <w:szCs w:val="32"/>
        </w:rPr>
        <w:t>后续要求</w:t>
      </w:r>
    </w:p>
    <w:p w14:paraId="21AF5E98">
      <w:pPr>
        <w:widowControl/>
        <w:spacing w:line="720" w:lineRule="exact"/>
        <w:ind w:firstLine="640" w:firstLineChars="200"/>
        <w:jc w:val="left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（一）加强环境设施维护与管理，确保污染物长期稳定达标排放。</w:t>
      </w:r>
    </w:p>
    <w:p w14:paraId="5FCC9EF8">
      <w:pPr>
        <w:widowControl/>
        <w:spacing w:line="720" w:lineRule="exact"/>
        <w:ind w:firstLine="640" w:firstLineChars="200"/>
        <w:jc w:val="left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（二）按证依法排污，接受环境保护主管部门的监督管理。</w:t>
      </w:r>
    </w:p>
    <w:p w14:paraId="169C9F26">
      <w:pPr>
        <w:widowControl/>
        <w:spacing w:line="720" w:lineRule="exact"/>
        <w:ind w:firstLine="627" w:firstLineChars="196"/>
        <w:jc w:val="left"/>
        <w:rPr>
          <w:rFonts w:hint="default" w:ascii="Times New Roman" w:hAnsi="Times New Roman" w:eastAsia="宋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附：建设项目竣工环境保护验收签名表</w:t>
      </w:r>
    </w:p>
    <w:p w14:paraId="31D7C488">
      <w:pPr>
        <w:widowControl/>
        <w:spacing w:line="720" w:lineRule="exact"/>
        <w:ind w:right="640"/>
        <w:jc w:val="right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lang w:eastAsia="zh-CN"/>
        </w:rPr>
        <w:t>茂名市电白区人民医院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（章）</w:t>
      </w:r>
    </w:p>
    <w:p w14:paraId="3D9B6EF2">
      <w:pPr>
        <w:widowControl/>
        <w:spacing w:line="720" w:lineRule="exact"/>
        <w:ind w:right="640"/>
        <w:jc w:val="right"/>
        <w:rPr>
          <w:rFonts w:hint="default" w:ascii="Times New Roman" w:hAnsi="Times New Roman" w:eastAsia="宋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</w:rPr>
        <w:t>日</w:t>
      </w:r>
    </w:p>
    <w:p w14:paraId="36924396">
      <w:pPr>
        <w:widowControl/>
        <w:wordWrap w:val="0"/>
        <w:spacing w:before="100" w:beforeAutospacing="1" w:after="100" w:afterAutospacing="1"/>
        <w:jc w:val="left"/>
        <w:rPr>
          <w:rFonts w:hint="default" w:ascii="Times New Roman" w:hAnsi="Times New Roman" w:eastAsia="宋体" w:cs="Times New Roman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E7C0C6">
      <w:pPr>
        <w:pStyle w:val="3"/>
        <w:autoSpaceDE w:val="0"/>
        <w:spacing w:line="360" w:lineRule="auto"/>
        <w:ind w:left="420" w:leftChars="200" w:firstLine="560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5F30">
    <w:pPr>
      <w:pStyle w:val="8"/>
      <w:jc w:val="center"/>
      <w:rPr>
        <w:sz w:val="24"/>
        <w:szCs w:val="24"/>
      </w:rPr>
    </w:pPr>
    <w:r>
      <w:rPr>
        <w:rFonts w:hint="eastAsia"/>
        <w:sz w:val="24"/>
        <w:szCs w:val="24"/>
      </w:rPr>
      <w:t>第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9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页共</w:t>
    </w:r>
    <w:r>
      <w:rPr>
        <w:rFonts w:hint="eastAsia"/>
        <w:sz w:val="24"/>
        <w:szCs w:val="24"/>
        <w:lang w:val="en-US" w:eastAsia="zh-CN"/>
      </w:rPr>
      <w:t>11</w:t>
    </w:r>
    <w:r>
      <w:rPr>
        <w:rFonts w:hint="eastAsia"/>
        <w:sz w:val="24"/>
        <w:szCs w:val="24"/>
      </w:rPr>
      <w:t>页</w:t>
    </w:r>
  </w:p>
  <w:p w14:paraId="7F2B8A14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877FB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64A27"/>
    <w:multiLevelType w:val="multilevel"/>
    <w:tmpl w:val="0EE64A27"/>
    <w:lvl w:ilvl="0" w:tentative="0">
      <w:start w:val="1"/>
      <w:numFmt w:val="japaneseCounting"/>
      <w:lvlText w:val="%1、"/>
      <w:lvlJc w:val="left"/>
      <w:pPr>
        <w:ind w:left="1430" w:hanging="63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6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0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9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3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1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5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mMTkyNzA3MzZiNzk1MGEyZGE1YjRhNDkyZDAxZDQifQ=="/>
  </w:docVars>
  <w:rsids>
    <w:rsidRoot w:val="00FB741E"/>
    <w:rsid w:val="000016EE"/>
    <w:rsid w:val="00012D1C"/>
    <w:rsid w:val="00015B34"/>
    <w:rsid w:val="00020883"/>
    <w:rsid w:val="000212B3"/>
    <w:rsid w:val="000331CF"/>
    <w:rsid w:val="000343D4"/>
    <w:rsid w:val="000516ED"/>
    <w:rsid w:val="00075397"/>
    <w:rsid w:val="000755CB"/>
    <w:rsid w:val="00080B0F"/>
    <w:rsid w:val="0008140D"/>
    <w:rsid w:val="00085FC3"/>
    <w:rsid w:val="0009672F"/>
    <w:rsid w:val="000A15B2"/>
    <w:rsid w:val="000B77AC"/>
    <w:rsid w:val="000C7023"/>
    <w:rsid w:val="000E2225"/>
    <w:rsid w:val="000E247D"/>
    <w:rsid w:val="000E37AC"/>
    <w:rsid w:val="000E4216"/>
    <w:rsid w:val="000F09ED"/>
    <w:rsid w:val="000F0B27"/>
    <w:rsid w:val="000F1355"/>
    <w:rsid w:val="000F3325"/>
    <w:rsid w:val="000F7665"/>
    <w:rsid w:val="00103C9F"/>
    <w:rsid w:val="00116E2B"/>
    <w:rsid w:val="0012036A"/>
    <w:rsid w:val="001218B2"/>
    <w:rsid w:val="00121D02"/>
    <w:rsid w:val="00122C24"/>
    <w:rsid w:val="00127148"/>
    <w:rsid w:val="00135558"/>
    <w:rsid w:val="0014031D"/>
    <w:rsid w:val="00140AE0"/>
    <w:rsid w:val="00146CCD"/>
    <w:rsid w:val="00150768"/>
    <w:rsid w:val="001517F6"/>
    <w:rsid w:val="00152FB8"/>
    <w:rsid w:val="00155172"/>
    <w:rsid w:val="00160ABC"/>
    <w:rsid w:val="00162972"/>
    <w:rsid w:val="00163C46"/>
    <w:rsid w:val="00187B3F"/>
    <w:rsid w:val="00193DA0"/>
    <w:rsid w:val="001A15F2"/>
    <w:rsid w:val="001B0120"/>
    <w:rsid w:val="001C0209"/>
    <w:rsid w:val="001D1CB7"/>
    <w:rsid w:val="001D649F"/>
    <w:rsid w:val="001D6E9E"/>
    <w:rsid w:val="001F0282"/>
    <w:rsid w:val="001F44D4"/>
    <w:rsid w:val="001F73B4"/>
    <w:rsid w:val="0020036D"/>
    <w:rsid w:val="0020069C"/>
    <w:rsid w:val="00201950"/>
    <w:rsid w:val="002036DC"/>
    <w:rsid w:val="00207766"/>
    <w:rsid w:val="00210D0F"/>
    <w:rsid w:val="00211497"/>
    <w:rsid w:val="00215906"/>
    <w:rsid w:val="00216B7C"/>
    <w:rsid w:val="00217765"/>
    <w:rsid w:val="00220AE7"/>
    <w:rsid w:val="002259B3"/>
    <w:rsid w:val="00237449"/>
    <w:rsid w:val="00242B47"/>
    <w:rsid w:val="0025430F"/>
    <w:rsid w:val="00256B2A"/>
    <w:rsid w:val="002633E1"/>
    <w:rsid w:val="00270107"/>
    <w:rsid w:val="00271F40"/>
    <w:rsid w:val="00282199"/>
    <w:rsid w:val="00282AB3"/>
    <w:rsid w:val="00284999"/>
    <w:rsid w:val="002851BD"/>
    <w:rsid w:val="002866EF"/>
    <w:rsid w:val="00286FE6"/>
    <w:rsid w:val="002A2CF8"/>
    <w:rsid w:val="002A44D2"/>
    <w:rsid w:val="002A7FF9"/>
    <w:rsid w:val="002B14F3"/>
    <w:rsid w:val="002D278A"/>
    <w:rsid w:val="002D482B"/>
    <w:rsid w:val="002E0844"/>
    <w:rsid w:val="002F1D2E"/>
    <w:rsid w:val="002F7030"/>
    <w:rsid w:val="00307BCC"/>
    <w:rsid w:val="00316FBE"/>
    <w:rsid w:val="00317067"/>
    <w:rsid w:val="00320191"/>
    <w:rsid w:val="003215C5"/>
    <w:rsid w:val="003218EB"/>
    <w:rsid w:val="00325557"/>
    <w:rsid w:val="003312C3"/>
    <w:rsid w:val="00333920"/>
    <w:rsid w:val="00336D56"/>
    <w:rsid w:val="0034124D"/>
    <w:rsid w:val="0034577D"/>
    <w:rsid w:val="0034690C"/>
    <w:rsid w:val="003470D4"/>
    <w:rsid w:val="00366056"/>
    <w:rsid w:val="00366F9B"/>
    <w:rsid w:val="00373309"/>
    <w:rsid w:val="00380D03"/>
    <w:rsid w:val="003975EA"/>
    <w:rsid w:val="0039797F"/>
    <w:rsid w:val="003A784E"/>
    <w:rsid w:val="003B04FE"/>
    <w:rsid w:val="003B58B8"/>
    <w:rsid w:val="003B5A66"/>
    <w:rsid w:val="003C0CBB"/>
    <w:rsid w:val="003C2844"/>
    <w:rsid w:val="003D3E84"/>
    <w:rsid w:val="003E235A"/>
    <w:rsid w:val="003F1EC9"/>
    <w:rsid w:val="00413D1B"/>
    <w:rsid w:val="00415036"/>
    <w:rsid w:val="00435565"/>
    <w:rsid w:val="00436A4A"/>
    <w:rsid w:val="004520A9"/>
    <w:rsid w:val="00452885"/>
    <w:rsid w:val="004541B9"/>
    <w:rsid w:val="00455EF0"/>
    <w:rsid w:val="004564EF"/>
    <w:rsid w:val="00461DF6"/>
    <w:rsid w:val="00464DD3"/>
    <w:rsid w:val="00466EB2"/>
    <w:rsid w:val="004676BD"/>
    <w:rsid w:val="00473544"/>
    <w:rsid w:val="00477BBF"/>
    <w:rsid w:val="004844C5"/>
    <w:rsid w:val="004908D3"/>
    <w:rsid w:val="004A0CBC"/>
    <w:rsid w:val="004B1A7D"/>
    <w:rsid w:val="004D238C"/>
    <w:rsid w:val="004F4755"/>
    <w:rsid w:val="004F5E5C"/>
    <w:rsid w:val="00500007"/>
    <w:rsid w:val="00500C68"/>
    <w:rsid w:val="0050772D"/>
    <w:rsid w:val="0052028D"/>
    <w:rsid w:val="00534551"/>
    <w:rsid w:val="00534B40"/>
    <w:rsid w:val="005404D2"/>
    <w:rsid w:val="00547265"/>
    <w:rsid w:val="005602EF"/>
    <w:rsid w:val="00561227"/>
    <w:rsid w:val="00562A82"/>
    <w:rsid w:val="005671CF"/>
    <w:rsid w:val="00570CEF"/>
    <w:rsid w:val="00572C80"/>
    <w:rsid w:val="00591996"/>
    <w:rsid w:val="005936FE"/>
    <w:rsid w:val="005A1049"/>
    <w:rsid w:val="005B0AC7"/>
    <w:rsid w:val="005B166F"/>
    <w:rsid w:val="005B2936"/>
    <w:rsid w:val="005C42AD"/>
    <w:rsid w:val="005C7227"/>
    <w:rsid w:val="005C7B26"/>
    <w:rsid w:val="005F09AD"/>
    <w:rsid w:val="005F0D78"/>
    <w:rsid w:val="005F17EC"/>
    <w:rsid w:val="005F3B80"/>
    <w:rsid w:val="0060198A"/>
    <w:rsid w:val="0061253F"/>
    <w:rsid w:val="006159E3"/>
    <w:rsid w:val="00617716"/>
    <w:rsid w:val="00624CE7"/>
    <w:rsid w:val="00634259"/>
    <w:rsid w:val="006343FE"/>
    <w:rsid w:val="00637D63"/>
    <w:rsid w:val="006422E1"/>
    <w:rsid w:val="00643340"/>
    <w:rsid w:val="006615A2"/>
    <w:rsid w:val="00670C40"/>
    <w:rsid w:val="006731E8"/>
    <w:rsid w:val="0068340C"/>
    <w:rsid w:val="006877FB"/>
    <w:rsid w:val="00687853"/>
    <w:rsid w:val="006922EC"/>
    <w:rsid w:val="00694D56"/>
    <w:rsid w:val="006953E2"/>
    <w:rsid w:val="006A3BF7"/>
    <w:rsid w:val="006B3864"/>
    <w:rsid w:val="006B79FD"/>
    <w:rsid w:val="006C71D9"/>
    <w:rsid w:val="006D0E7E"/>
    <w:rsid w:val="006D4FEF"/>
    <w:rsid w:val="006D5D03"/>
    <w:rsid w:val="006D72B4"/>
    <w:rsid w:val="006E7EFD"/>
    <w:rsid w:val="006F1AF2"/>
    <w:rsid w:val="006F3D36"/>
    <w:rsid w:val="006F7C93"/>
    <w:rsid w:val="00702919"/>
    <w:rsid w:val="007034EA"/>
    <w:rsid w:val="00703BCA"/>
    <w:rsid w:val="00710277"/>
    <w:rsid w:val="00713E94"/>
    <w:rsid w:val="0071548F"/>
    <w:rsid w:val="00723339"/>
    <w:rsid w:val="0072670E"/>
    <w:rsid w:val="007327F5"/>
    <w:rsid w:val="007406E2"/>
    <w:rsid w:val="00747B99"/>
    <w:rsid w:val="0075421D"/>
    <w:rsid w:val="0076189C"/>
    <w:rsid w:val="00763418"/>
    <w:rsid w:val="00764BE8"/>
    <w:rsid w:val="00766019"/>
    <w:rsid w:val="007702F0"/>
    <w:rsid w:val="007766D6"/>
    <w:rsid w:val="00776805"/>
    <w:rsid w:val="007779F4"/>
    <w:rsid w:val="007815C1"/>
    <w:rsid w:val="007921FC"/>
    <w:rsid w:val="00795567"/>
    <w:rsid w:val="00795AA1"/>
    <w:rsid w:val="00796BC5"/>
    <w:rsid w:val="007A007E"/>
    <w:rsid w:val="007A18E8"/>
    <w:rsid w:val="007A44D9"/>
    <w:rsid w:val="007B029A"/>
    <w:rsid w:val="007B06C8"/>
    <w:rsid w:val="007B14FC"/>
    <w:rsid w:val="007B1934"/>
    <w:rsid w:val="007C4DDC"/>
    <w:rsid w:val="007D1AD6"/>
    <w:rsid w:val="007D2041"/>
    <w:rsid w:val="007E4D62"/>
    <w:rsid w:val="00800634"/>
    <w:rsid w:val="00800B3C"/>
    <w:rsid w:val="008256B8"/>
    <w:rsid w:val="00845E77"/>
    <w:rsid w:val="008572B0"/>
    <w:rsid w:val="00857917"/>
    <w:rsid w:val="008631E7"/>
    <w:rsid w:val="008706EC"/>
    <w:rsid w:val="0088474E"/>
    <w:rsid w:val="008917CA"/>
    <w:rsid w:val="00897B1C"/>
    <w:rsid w:val="008A0DA2"/>
    <w:rsid w:val="008A3551"/>
    <w:rsid w:val="008B1E7F"/>
    <w:rsid w:val="008C765A"/>
    <w:rsid w:val="008D49B8"/>
    <w:rsid w:val="008F40B2"/>
    <w:rsid w:val="00900B5F"/>
    <w:rsid w:val="0091405E"/>
    <w:rsid w:val="00931AB5"/>
    <w:rsid w:val="00937674"/>
    <w:rsid w:val="009405A9"/>
    <w:rsid w:val="00946308"/>
    <w:rsid w:val="00946AE7"/>
    <w:rsid w:val="009512F4"/>
    <w:rsid w:val="00954002"/>
    <w:rsid w:val="009640D6"/>
    <w:rsid w:val="00982770"/>
    <w:rsid w:val="009873DD"/>
    <w:rsid w:val="009920D6"/>
    <w:rsid w:val="0099319D"/>
    <w:rsid w:val="00994BBD"/>
    <w:rsid w:val="00995F08"/>
    <w:rsid w:val="00996CDD"/>
    <w:rsid w:val="00997B41"/>
    <w:rsid w:val="009A08BE"/>
    <w:rsid w:val="009A226F"/>
    <w:rsid w:val="009A22C0"/>
    <w:rsid w:val="009A26E8"/>
    <w:rsid w:val="009C1BCA"/>
    <w:rsid w:val="009C500E"/>
    <w:rsid w:val="009C5D53"/>
    <w:rsid w:val="009C7F6C"/>
    <w:rsid w:val="009D1747"/>
    <w:rsid w:val="009D3CB1"/>
    <w:rsid w:val="009D4935"/>
    <w:rsid w:val="009D5040"/>
    <w:rsid w:val="009D7B31"/>
    <w:rsid w:val="009E016A"/>
    <w:rsid w:val="009E3AFA"/>
    <w:rsid w:val="009F0CC6"/>
    <w:rsid w:val="009F355E"/>
    <w:rsid w:val="00A00B37"/>
    <w:rsid w:val="00A32D2C"/>
    <w:rsid w:val="00A36DE3"/>
    <w:rsid w:val="00A54893"/>
    <w:rsid w:val="00A569FA"/>
    <w:rsid w:val="00A63938"/>
    <w:rsid w:val="00A73CE6"/>
    <w:rsid w:val="00A77944"/>
    <w:rsid w:val="00A86A97"/>
    <w:rsid w:val="00AA527E"/>
    <w:rsid w:val="00AA6F4D"/>
    <w:rsid w:val="00AA74AE"/>
    <w:rsid w:val="00AA7676"/>
    <w:rsid w:val="00AB028D"/>
    <w:rsid w:val="00AB5D80"/>
    <w:rsid w:val="00AC1B98"/>
    <w:rsid w:val="00AC1D5A"/>
    <w:rsid w:val="00AC2350"/>
    <w:rsid w:val="00AC3C7B"/>
    <w:rsid w:val="00AC3F02"/>
    <w:rsid w:val="00AC49D9"/>
    <w:rsid w:val="00AC734B"/>
    <w:rsid w:val="00AD432C"/>
    <w:rsid w:val="00AE36DB"/>
    <w:rsid w:val="00AE7767"/>
    <w:rsid w:val="00AF08C1"/>
    <w:rsid w:val="00B0471F"/>
    <w:rsid w:val="00B14475"/>
    <w:rsid w:val="00B14F6A"/>
    <w:rsid w:val="00B27342"/>
    <w:rsid w:val="00B302A5"/>
    <w:rsid w:val="00B33097"/>
    <w:rsid w:val="00B33F93"/>
    <w:rsid w:val="00B35FBC"/>
    <w:rsid w:val="00B400D1"/>
    <w:rsid w:val="00B41037"/>
    <w:rsid w:val="00B50660"/>
    <w:rsid w:val="00B52720"/>
    <w:rsid w:val="00B70B6A"/>
    <w:rsid w:val="00B754B5"/>
    <w:rsid w:val="00B8075D"/>
    <w:rsid w:val="00B848AE"/>
    <w:rsid w:val="00B854D5"/>
    <w:rsid w:val="00B87618"/>
    <w:rsid w:val="00BA3194"/>
    <w:rsid w:val="00BA75FB"/>
    <w:rsid w:val="00BA7F0B"/>
    <w:rsid w:val="00BB4A66"/>
    <w:rsid w:val="00BB7B62"/>
    <w:rsid w:val="00BF032B"/>
    <w:rsid w:val="00C00C5C"/>
    <w:rsid w:val="00C02A9B"/>
    <w:rsid w:val="00C16636"/>
    <w:rsid w:val="00C21EFF"/>
    <w:rsid w:val="00C22120"/>
    <w:rsid w:val="00C311ED"/>
    <w:rsid w:val="00C31DCE"/>
    <w:rsid w:val="00C32A39"/>
    <w:rsid w:val="00C32A6E"/>
    <w:rsid w:val="00C32BB1"/>
    <w:rsid w:val="00C35A2B"/>
    <w:rsid w:val="00C42AF8"/>
    <w:rsid w:val="00C43F71"/>
    <w:rsid w:val="00C473F3"/>
    <w:rsid w:val="00C51B7C"/>
    <w:rsid w:val="00C55365"/>
    <w:rsid w:val="00C65173"/>
    <w:rsid w:val="00C7278A"/>
    <w:rsid w:val="00C801DA"/>
    <w:rsid w:val="00C80CE0"/>
    <w:rsid w:val="00C81CA5"/>
    <w:rsid w:val="00C838A7"/>
    <w:rsid w:val="00C8593C"/>
    <w:rsid w:val="00C86736"/>
    <w:rsid w:val="00C928C0"/>
    <w:rsid w:val="00CA16CD"/>
    <w:rsid w:val="00CA60AA"/>
    <w:rsid w:val="00CA78FD"/>
    <w:rsid w:val="00CB12F3"/>
    <w:rsid w:val="00CB2FE3"/>
    <w:rsid w:val="00CC3AFB"/>
    <w:rsid w:val="00CC401E"/>
    <w:rsid w:val="00CC4625"/>
    <w:rsid w:val="00CC69C8"/>
    <w:rsid w:val="00CD1D8E"/>
    <w:rsid w:val="00CE406E"/>
    <w:rsid w:val="00D0288D"/>
    <w:rsid w:val="00D049F3"/>
    <w:rsid w:val="00D24441"/>
    <w:rsid w:val="00D24C22"/>
    <w:rsid w:val="00D24F55"/>
    <w:rsid w:val="00D356AD"/>
    <w:rsid w:val="00D35E31"/>
    <w:rsid w:val="00D4185B"/>
    <w:rsid w:val="00D44B41"/>
    <w:rsid w:val="00D46250"/>
    <w:rsid w:val="00D53358"/>
    <w:rsid w:val="00D65CB1"/>
    <w:rsid w:val="00D67AFD"/>
    <w:rsid w:val="00D70C5C"/>
    <w:rsid w:val="00D7111C"/>
    <w:rsid w:val="00D7417D"/>
    <w:rsid w:val="00D76669"/>
    <w:rsid w:val="00D771EE"/>
    <w:rsid w:val="00D80AE7"/>
    <w:rsid w:val="00DA00C7"/>
    <w:rsid w:val="00DA3EC3"/>
    <w:rsid w:val="00DA5F48"/>
    <w:rsid w:val="00DC06B0"/>
    <w:rsid w:val="00DC17FD"/>
    <w:rsid w:val="00DC56F8"/>
    <w:rsid w:val="00DD061F"/>
    <w:rsid w:val="00DD4ADC"/>
    <w:rsid w:val="00DE36F9"/>
    <w:rsid w:val="00DE5910"/>
    <w:rsid w:val="00DE7F0B"/>
    <w:rsid w:val="00DF2145"/>
    <w:rsid w:val="00DF234C"/>
    <w:rsid w:val="00DF3ADA"/>
    <w:rsid w:val="00DF4740"/>
    <w:rsid w:val="00DF4D3C"/>
    <w:rsid w:val="00DF5BD7"/>
    <w:rsid w:val="00DF6073"/>
    <w:rsid w:val="00DF7970"/>
    <w:rsid w:val="00E11EA6"/>
    <w:rsid w:val="00E17247"/>
    <w:rsid w:val="00E26057"/>
    <w:rsid w:val="00E26F82"/>
    <w:rsid w:val="00E33E45"/>
    <w:rsid w:val="00E35B9A"/>
    <w:rsid w:val="00E41C0D"/>
    <w:rsid w:val="00E4599B"/>
    <w:rsid w:val="00E70A8B"/>
    <w:rsid w:val="00E721B1"/>
    <w:rsid w:val="00E7361C"/>
    <w:rsid w:val="00E8041E"/>
    <w:rsid w:val="00E92B1D"/>
    <w:rsid w:val="00E93348"/>
    <w:rsid w:val="00E96E09"/>
    <w:rsid w:val="00EB140E"/>
    <w:rsid w:val="00EB4B2C"/>
    <w:rsid w:val="00EC442D"/>
    <w:rsid w:val="00EC4BF6"/>
    <w:rsid w:val="00EC5D3D"/>
    <w:rsid w:val="00EC707A"/>
    <w:rsid w:val="00ED21DA"/>
    <w:rsid w:val="00ED3ABB"/>
    <w:rsid w:val="00ED4EC1"/>
    <w:rsid w:val="00ED5763"/>
    <w:rsid w:val="00ED6D4A"/>
    <w:rsid w:val="00EE3DEA"/>
    <w:rsid w:val="00EE45AC"/>
    <w:rsid w:val="00EE53A7"/>
    <w:rsid w:val="00EF2FD6"/>
    <w:rsid w:val="00EF487B"/>
    <w:rsid w:val="00F01DB0"/>
    <w:rsid w:val="00F04D14"/>
    <w:rsid w:val="00F058E1"/>
    <w:rsid w:val="00F074B1"/>
    <w:rsid w:val="00F11614"/>
    <w:rsid w:val="00F12F74"/>
    <w:rsid w:val="00F15ABB"/>
    <w:rsid w:val="00F15D83"/>
    <w:rsid w:val="00F165CA"/>
    <w:rsid w:val="00F27EE0"/>
    <w:rsid w:val="00F31EF6"/>
    <w:rsid w:val="00F32EC2"/>
    <w:rsid w:val="00F41CE6"/>
    <w:rsid w:val="00F5381F"/>
    <w:rsid w:val="00F55528"/>
    <w:rsid w:val="00F56B82"/>
    <w:rsid w:val="00F603FB"/>
    <w:rsid w:val="00F625A3"/>
    <w:rsid w:val="00F70409"/>
    <w:rsid w:val="00F738B6"/>
    <w:rsid w:val="00F81720"/>
    <w:rsid w:val="00F82433"/>
    <w:rsid w:val="00F84C40"/>
    <w:rsid w:val="00F93873"/>
    <w:rsid w:val="00F964FE"/>
    <w:rsid w:val="00F972D7"/>
    <w:rsid w:val="00FA3331"/>
    <w:rsid w:val="00FA60C0"/>
    <w:rsid w:val="00FA7519"/>
    <w:rsid w:val="00FB2432"/>
    <w:rsid w:val="00FB4B1F"/>
    <w:rsid w:val="00FB741E"/>
    <w:rsid w:val="00FC00AB"/>
    <w:rsid w:val="00FD10FC"/>
    <w:rsid w:val="00FD6FAA"/>
    <w:rsid w:val="00FD7360"/>
    <w:rsid w:val="00FE71E6"/>
    <w:rsid w:val="00FF6EB6"/>
    <w:rsid w:val="055B0419"/>
    <w:rsid w:val="086234BC"/>
    <w:rsid w:val="0DBC4291"/>
    <w:rsid w:val="10F71378"/>
    <w:rsid w:val="11474DF0"/>
    <w:rsid w:val="140856CF"/>
    <w:rsid w:val="15E46462"/>
    <w:rsid w:val="17E52D43"/>
    <w:rsid w:val="1BAB2543"/>
    <w:rsid w:val="1BED5F56"/>
    <w:rsid w:val="1D5513F3"/>
    <w:rsid w:val="1F81420A"/>
    <w:rsid w:val="21017A8B"/>
    <w:rsid w:val="23385B1D"/>
    <w:rsid w:val="24C152E7"/>
    <w:rsid w:val="24E55203"/>
    <w:rsid w:val="251F2D33"/>
    <w:rsid w:val="261D3EB2"/>
    <w:rsid w:val="291647DC"/>
    <w:rsid w:val="2B1C69FE"/>
    <w:rsid w:val="2C0F31FB"/>
    <w:rsid w:val="2F1715DA"/>
    <w:rsid w:val="2F7A262F"/>
    <w:rsid w:val="30E24806"/>
    <w:rsid w:val="366E1D3D"/>
    <w:rsid w:val="3C0D3E66"/>
    <w:rsid w:val="414C5002"/>
    <w:rsid w:val="41713135"/>
    <w:rsid w:val="42326E06"/>
    <w:rsid w:val="42ED2DE3"/>
    <w:rsid w:val="460C46CA"/>
    <w:rsid w:val="498E384A"/>
    <w:rsid w:val="4DA55D54"/>
    <w:rsid w:val="4ED010B8"/>
    <w:rsid w:val="52582DA9"/>
    <w:rsid w:val="593D402B"/>
    <w:rsid w:val="5A026EE3"/>
    <w:rsid w:val="5B800982"/>
    <w:rsid w:val="5CE3581F"/>
    <w:rsid w:val="615D4471"/>
    <w:rsid w:val="65AD0092"/>
    <w:rsid w:val="674A317E"/>
    <w:rsid w:val="6B4A751E"/>
    <w:rsid w:val="6F0B0832"/>
    <w:rsid w:val="6F2D094A"/>
    <w:rsid w:val="6FB82F65"/>
    <w:rsid w:val="6FF96F24"/>
    <w:rsid w:val="7319311D"/>
    <w:rsid w:val="743D7A4F"/>
    <w:rsid w:val="780A60D2"/>
    <w:rsid w:val="7F49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spacing w:line="360" w:lineRule="exact"/>
      <w:jc w:val="center"/>
      <w:outlineLvl w:val="0"/>
    </w:pPr>
    <w:rPr>
      <w:b/>
      <w:bCs/>
      <w:spacing w:val="-1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Document Map"/>
    <w:basedOn w:val="1"/>
    <w:link w:val="20"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21"/>
    <w:qFormat/>
    <w:uiPriority w:val="0"/>
    <w:pPr>
      <w:jc w:val="left"/>
    </w:pPr>
    <w:rPr>
      <w:szCs w:val="20"/>
    </w:rPr>
  </w:style>
  <w:style w:type="paragraph" w:styleId="6">
    <w:name w:val="Body Text"/>
    <w:basedOn w:val="1"/>
    <w:link w:val="18"/>
    <w:semiHidden/>
    <w:qFormat/>
    <w:uiPriority w:val="99"/>
    <w:pPr>
      <w:spacing w:after="120"/>
    </w:pPr>
  </w:style>
  <w:style w:type="paragraph" w:styleId="7">
    <w:name w:val="Balloon Text"/>
    <w:basedOn w:val="1"/>
    <w:link w:val="22"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34"/>
    <w:semiHidden/>
    <w:unhideWhenUsed/>
    <w:qFormat/>
    <w:uiPriority w:val="99"/>
    <w:rPr>
      <w:b/>
      <w:bCs/>
      <w:szCs w:val="21"/>
    </w:rPr>
  </w:style>
  <w:style w:type="paragraph" w:styleId="12">
    <w:name w:val="Body Text First Indent"/>
    <w:basedOn w:val="6"/>
    <w:link w:val="19"/>
    <w:semiHidden/>
    <w:qFormat/>
    <w:uiPriority w:val="99"/>
    <w:pPr>
      <w:adjustRightInd w:val="0"/>
      <w:snapToGrid w:val="0"/>
      <w:spacing w:after="0" w:line="336" w:lineRule="auto"/>
      <w:ind w:firstLine="480" w:firstLineChars="200"/>
    </w:pPr>
    <w:rPr>
      <w:rFonts w:ascii="宋体" w:hAnsi="宋体"/>
      <w:sz w:val="24"/>
      <w:szCs w:val="20"/>
    </w:rPr>
  </w:style>
  <w:style w:type="table" w:styleId="14">
    <w:name w:val="Table Grid"/>
    <w:basedOn w:val="13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qFormat/>
    <w:uiPriority w:val="0"/>
    <w:rPr>
      <w:rFonts w:cs="Times New Roman"/>
      <w:sz w:val="21"/>
    </w:rPr>
  </w:style>
  <w:style w:type="character" w:customStyle="1" w:styleId="17">
    <w:name w:val="标题 1 字符"/>
    <w:link w:val="2"/>
    <w:qFormat/>
    <w:locked/>
    <w:uiPriority w:val="99"/>
    <w:rPr>
      <w:rFonts w:ascii="Calibri" w:hAnsi="Calibri" w:eastAsia="宋体" w:cs="Times New Roman"/>
      <w:b/>
      <w:bCs/>
      <w:spacing w:val="-16"/>
      <w:sz w:val="21"/>
      <w:szCs w:val="21"/>
    </w:rPr>
  </w:style>
  <w:style w:type="character" w:customStyle="1" w:styleId="18">
    <w:name w:val="正文文本 字符"/>
    <w:link w:val="6"/>
    <w:semiHidden/>
    <w:qFormat/>
    <w:locked/>
    <w:uiPriority w:val="99"/>
    <w:rPr>
      <w:rFonts w:ascii="Calibri" w:hAnsi="Calibri" w:eastAsia="宋体" w:cs="Times New Roman"/>
      <w:kern w:val="2"/>
      <w:sz w:val="21"/>
      <w:szCs w:val="21"/>
    </w:rPr>
  </w:style>
  <w:style w:type="character" w:customStyle="1" w:styleId="19">
    <w:name w:val="正文首行缩进 字符"/>
    <w:link w:val="12"/>
    <w:semiHidden/>
    <w:qFormat/>
    <w:locked/>
    <w:uiPriority w:val="99"/>
    <w:rPr>
      <w:rFonts w:ascii="宋体" w:hAnsi="宋体" w:eastAsia="宋体" w:cs="Times New Roman"/>
      <w:kern w:val="2"/>
      <w:sz w:val="24"/>
    </w:rPr>
  </w:style>
  <w:style w:type="character" w:customStyle="1" w:styleId="20">
    <w:name w:val="文档结构图 字符"/>
    <w:link w:val="4"/>
    <w:semiHidden/>
    <w:qFormat/>
    <w:locked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21">
    <w:name w:val="批注文字 字符"/>
    <w:link w:val="5"/>
    <w:qFormat/>
    <w:locked/>
    <w:uiPriority w:val="0"/>
    <w:rPr>
      <w:kern w:val="2"/>
      <w:sz w:val="21"/>
    </w:rPr>
  </w:style>
  <w:style w:type="character" w:customStyle="1" w:styleId="22">
    <w:name w:val="批注框文本 字符"/>
    <w:link w:val="7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link w:val="8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页眉 字符"/>
    <w:link w:val="9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character" w:customStyle="1" w:styleId="26">
    <w:name w:val="正文文本 (2)_"/>
    <w:link w:val="27"/>
    <w:qFormat/>
    <w:locked/>
    <w:uiPriority w:val="99"/>
    <w:rPr>
      <w:rFonts w:ascii="宋体" w:hAnsi="宋体" w:eastAsia="宋体" w:cs="Times New Roman"/>
      <w:sz w:val="22"/>
      <w:shd w:val="clear" w:color="auto" w:fill="FFFFFF"/>
    </w:rPr>
  </w:style>
  <w:style w:type="paragraph" w:customStyle="1" w:styleId="27">
    <w:name w:val="正文文本 (2)"/>
    <w:basedOn w:val="1"/>
    <w:link w:val="26"/>
    <w:qFormat/>
    <w:uiPriority w:val="99"/>
    <w:pPr>
      <w:shd w:val="clear" w:color="auto" w:fill="FFFFFF"/>
      <w:spacing w:line="403" w:lineRule="exact"/>
      <w:ind w:hanging="240"/>
      <w:jc w:val="distribute"/>
    </w:pPr>
    <w:rPr>
      <w:rFonts w:ascii="宋体" w:hAnsi="宋体"/>
      <w:kern w:val="0"/>
      <w:sz w:val="22"/>
      <w:szCs w:val="20"/>
    </w:rPr>
  </w:style>
  <w:style w:type="character" w:customStyle="1" w:styleId="28">
    <w:name w:val="批注文字 字符1"/>
    <w:semiHidden/>
    <w:qFormat/>
    <w:uiPriority w:val="99"/>
    <w:rPr>
      <w:rFonts w:ascii="Calibri" w:hAnsi="Calibri" w:eastAsia="宋体" w:cs="Times New Roman"/>
      <w:kern w:val="2"/>
      <w:sz w:val="21"/>
      <w:szCs w:val="21"/>
    </w:rPr>
  </w:style>
  <w:style w:type="character" w:customStyle="1" w:styleId="29">
    <w:name w:val="批注文字 Char1"/>
    <w:semiHidden/>
    <w:qFormat/>
    <w:locked/>
    <w:uiPriority w:val="99"/>
    <w:rPr>
      <w:rFonts w:ascii="Tahoma" w:hAnsi="Tahoma" w:eastAsia="微软雅黑" w:cs="Times New Roman"/>
      <w:sz w:val="22"/>
      <w:szCs w:val="22"/>
    </w:rPr>
  </w:style>
  <w:style w:type="character" w:customStyle="1" w:styleId="30">
    <w:name w:val="正文首行缩进 Char"/>
    <w:semiHidden/>
    <w:qFormat/>
    <w:uiPriority w:val="99"/>
    <w:rPr>
      <w:rFonts w:ascii="Calibri" w:hAnsi="Calibri" w:eastAsia="宋体" w:cs="Times New Roman"/>
      <w:kern w:val="2"/>
      <w:sz w:val="21"/>
      <w:szCs w:val="21"/>
    </w:rPr>
  </w:style>
  <w:style w:type="character" w:customStyle="1" w:styleId="31">
    <w:name w:val="正文格式 Char"/>
    <w:link w:val="32"/>
    <w:qFormat/>
    <w:locked/>
    <w:uiPriority w:val="99"/>
    <w:rPr>
      <w:rFonts w:ascii="宋体" w:eastAsia="宋体"/>
      <w:sz w:val="24"/>
    </w:rPr>
  </w:style>
  <w:style w:type="paragraph" w:customStyle="1" w:styleId="32">
    <w:name w:val="正文格式"/>
    <w:basedOn w:val="1"/>
    <w:link w:val="31"/>
    <w:qFormat/>
    <w:uiPriority w:val="99"/>
    <w:pPr>
      <w:spacing w:line="360" w:lineRule="auto"/>
      <w:ind w:firstLine="482"/>
    </w:pPr>
    <w:rPr>
      <w:rFonts w:ascii="宋体" w:hAnsi="宋体"/>
      <w:kern w:val="0"/>
      <w:sz w:val="24"/>
      <w:szCs w:val="24"/>
    </w:rPr>
  </w:style>
  <w:style w:type="paragraph" w:styleId="33">
    <w:name w:val="List Paragraph"/>
    <w:basedOn w:val="1"/>
    <w:qFormat/>
    <w:uiPriority w:val="99"/>
    <w:pPr>
      <w:ind w:firstLine="420" w:firstLineChars="200"/>
    </w:pPr>
  </w:style>
  <w:style w:type="character" w:customStyle="1" w:styleId="34">
    <w:name w:val="批注主题 字符"/>
    <w:link w:val="11"/>
    <w:semiHidden/>
    <w:qFormat/>
    <w:uiPriority w:val="99"/>
    <w:rPr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2F12-37AB-4EE0-82E9-7CCB38A73F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3604</Words>
  <Characters>4078</Characters>
  <Lines>22</Lines>
  <Paragraphs>6</Paragraphs>
  <TotalTime>47</TotalTime>
  <ScaleCrop>false</ScaleCrop>
  <LinksUpToDate>false</LinksUpToDate>
  <CharactersWithSpaces>4094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2022-07-15T03:18:00Z</dcterms:created>
  <dc:creator>林福青</dc:creator>
  <cp:lastModifiedBy>杨玲珠</cp:lastModifiedBy>
  <cp:lastPrinted>2020-04-23T03:44:00Z</cp:lastPrinted>
  <dcterms:modified xsi:type="dcterms:W3CDTF">2026-06-03T02:53:34Z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7F5749B18B764CBB95F5DF205BE192B7_12</vt:lpwstr>
  </property>
  <property fmtid="{D5CDD505-2E9C-101B-9397-08002B2CF9AE}" pid="4" name="KSOTemplateDocerSaveRecord">
    <vt:lpwstr>eyJoZGlkIjoiOGVmZTgyNWZkNGM3NjViYmM1OWZlMmYyYjMxNWNhZTIiLCJ1c2VySWQiOiIyNzU4NDU3MzAifQ==</vt:lpwstr>
  </property>
</Properties>
</file>