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AB887B">
      <w:pPr>
        <w:rPr>
          <w:rFonts w:hint="default" w:ascii="Times New Roman" w:hAnsi="Times New Roman" w:cs="Times New Roman"/>
        </w:rPr>
      </w:pPr>
    </w:p>
    <w:p w14:paraId="4C1FE3FB">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default" w:ascii="Times New Roman" w:hAnsi="Times New Roman" w:cs="Times New Roman"/>
          <w:b/>
          <w:bCs/>
          <w:color w:val="000000"/>
          <w:kern w:val="0"/>
          <w:sz w:val="44"/>
          <w:szCs w:val="44"/>
        </w:rPr>
      </w:pPr>
      <w:r>
        <w:rPr>
          <w:rFonts w:hint="default" w:ascii="Times New Roman" w:hAnsi="Times New Roman" w:cs="Times New Roman"/>
          <w:b/>
          <w:bCs/>
          <w:color w:val="000000"/>
          <w:kern w:val="0"/>
          <w:sz w:val="44"/>
          <w:szCs w:val="44"/>
        </w:rPr>
        <w:t>茂南区南方国际汽车产业园基础设施建设项目（水质净化厂一期工程）</w:t>
      </w:r>
    </w:p>
    <w:p w14:paraId="04B4466D">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default" w:ascii="Times New Roman" w:hAnsi="Times New Roman" w:cs="Times New Roman"/>
          <w:b/>
          <w:bCs/>
          <w:color w:val="000000"/>
          <w:kern w:val="0"/>
          <w:sz w:val="44"/>
          <w:szCs w:val="44"/>
        </w:rPr>
      </w:pPr>
      <w:r>
        <w:rPr>
          <w:rFonts w:hint="default" w:ascii="Times New Roman" w:hAnsi="Times New Roman" w:cs="Times New Roman"/>
          <w:b/>
          <w:bCs/>
          <w:color w:val="000000"/>
          <w:kern w:val="0"/>
          <w:sz w:val="44"/>
          <w:szCs w:val="44"/>
        </w:rPr>
        <w:t>第一阶段竣工环境保护验收意见</w:t>
      </w:r>
    </w:p>
    <w:p w14:paraId="4A3D0B51">
      <w:pPr>
        <w:ind w:firstLine="800" w:firstLineChars="250"/>
        <w:rPr>
          <w:rFonts w:hint="default" w:ascii="Times New Roman" w:hAnsi="Times New Roman" w:eastAsia="仿宋_GB2312" w:cs="Times New Roman"/>
          <w:kern w:val="0"/>
          <w:sz w:val="32"/>
          <w:szCs w:val="32"/>
        </w:rPr>
      </w:pPr>
    </w:p>
    <w:p w14:paraId="5702263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rPr>
        <w:t>根据《建设项目竣工环境保护验收暂行办法》的规定，</w:t>
      </w:r>
      <w:r>
        <w:rPr>
          <w:rFonts w:hint="default" w:ascii="Times New Roman" w:hAnsi="Times New Roman" w:eastAsia="仿宋_GB2312" w:cs="Times New Roman"/>
          <w:kern w:val="0"/>
          <w:sz w:val="32"/>
          <w:szCs w:val="32"/>
          <w:lang w:val="en-US" w:eastAsia="zh-CN"/>
        </w:rPr>
        <w:t>2026</w:t>
      </w:r>
      <w:r>
        <w:rPr>
          <w:rFonts w:hint="default" w:ascii="Times New Roman" w:hAnsi="Times New Roman" w:eastAsia="仿宋_GB2312" w:cs="Times New Roman"/>
          <w:kern w:val="0"/>
          <w:sz w:val="32"/>
          <w:szCs w:val="32"/>
        </w:rPr>
        <w:t>年</w:t>
      </w:r>
      <w:r>
        <w:rPr>
          <w:rFonts w:hint="default" w:ascii="Times New Roman" w:hAnsi="Times New Roman" w:eastAsia="仿宋_GB2312" w:cs="Times New Roman"/>
          <w:kern w:val="0"/>
          <w:sz w:val="32"/>
          <w:szCs w:val="32"/>
          <w:lang w:val="en-US" w:eastAsia="zh-CN"/>
        </w:rPr>
        <w:t>8</w:t>
      </w:r>
      <w:r>
        <w:rPr>
          <w:rFonts w:hint="default" w:ascii="Times New Roman" w:hAnsi="Times New Roman" w:eastAsia="仿宋_GB2312" w:cs="Times New Roman"/>
          <w:kern w:val="0"/>
          <w:sz w:val="32"/>
          <w:szCs w:val="32"/>
        </w:rPr>
        <w:t>月</w:t>
      </w:r>
      <w:r>
        <w:rPr>
          <w:rFonts w:hint="default" w:ascii="Times New Roman" w:hAnsi="Times New Roman" w:eastAsia="仿宋_GB2312" w:cs="Times New Roman"/>
          <w:kern w:val="0"/>
          <w:sz w:val="32"/>
          <w:szCs w:val="32"/>
          <w:lang w:val="en-US" w:eastAsia="zh-CN"/>
        </w:rPr>
        <w:t>25</w:t>
      </w:r>
      <w:r>
        <w:rPr>
          <w:rFonts w:hint="default" w:ascii="Times New Roman" w:hAnsi="Times New Roman" w:eastAsia="仿宋_GB2312" w:cs="Times New Roman"/>
          <w:kern w:val="0"/>
          <w:sz w:val="32"/>
          <w:szCs w:val="32"/>
        </w:rPr>
        <w:t>日，我公司组织召开茂南区南方国际汽车产业园基础设施建设项目（水质净化厂一期工程）第一阶段工程项目竣工环境保护验收现场检查会。验收组成员有茂名市茂南中科云粤西产业园管理中心（建设单位）</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茂南区工业园管理中心（建设单位）、中交第四航务工程勘察设计院有限公司（</w:t>
      </w:r>
      <w:r>
        <w:rPr>
          <w:rFonts w:hint="default" w:ascii="Times New Roman" w:hAnsi="Times New Roman" w:eastAsia="仿宋_GB2312" w:cs="Times New Roman"/>
          <w:color w:val="000000"/>
          <w:kern w:val="0"/>
          <w:sz w:val="32"/>
          <w:szCs w:val="32"/>
        </w:rPr>
        <w:t>设计单位</w:t>
      </w:r>
      <w:r>
        <w:rPr>
          <w:rFonts w:hint="default" w:ascii="Times New Roman" w:hAnsi="Times New Roman" w:eastAsia="仿宋_GB2312" w:cs="Times New Roman"/>
          <w:kern w:val="0"/>
          <w:sz w:val="32"/>
          <w:szCs w:val="32"/>
        </w:rPr>
        <w:t>）、广东电白二建集团有限公司（</w:t>
      </w:r>
      <w:r>
        <w:rPr>
          <w:rFonts w:hint="default" w:ascii="Times New Roman" w:hAnsi="Times New Roman" w:eastAsia="仿宋_GB2312" w:cs="Times New Roman"/>
          <w:color w:val="000000"/>
          <w:kern w:val="0"/>
          <w:sz w:val="32"/>
          <w:szCs w:val="32"/>
        </w:rPr>
        <w:t>施工单位</w:t>
      </w:r>
      <w:r>
        <w:rPr>
          <w:rFonts w:hint="default" w:ascii="Times New Roman" w:hAnsi="Times New Roman" w:eastAsia="仿宋_GB2312" w:cs="Times New Roman"/>
          <w:kern w:val="0"/>
          <w:sz w:val="32"/>
          <w:szCs w:val="32"/>
        </w:rPr>
        <w:t>）、广东建环环保工程有限公司</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lang w:val="en-US" w:eastAsia="zh-CN"/>
        </w:rPr>
        <w:t>运营单位</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lang w:val="en-US" w:eastAsia="zh-CN"/>
        </w:rPr>
        <w:t>广东中科检测技术</w:t>
      </w:r>
      <w:r>
        <w:rPr>
          <w:rFonts w:hint="default" w:ascii="Times New Roman" w:hAnsi="Times New Roman" w:eastAsia="仿宋_GB2312" w:cs="Times New Roman"/>
          <w:kern w:val="0"/>
          <w:sz w:val="32"/>
          <w:szCs w:val="32"/>
        </w:rPr>
        <w:t>有限公司（</w:t>
      </w:r>
      <w:r>
        <w:rPr>
          <w:rFonts w:hint="default" w:ascii="Times New Roman" w:hAnsi="Times New Roman" w:eastAsia="仿宋_GB2312" w:cs="Times New Roman"/>
          <w:color w:val="000000"/>
          <w:kern w:val="0"/>
          <w:sz w:val="32"/>
          <w:szCs w:val="32"/>
        </w:rPr>
        <w:t>验收</w:t>
      </w:r>
      <w:r>
        <w:rPr>
          <w:rFonts w:hint="default" w:ascii="Times New Roman" w:hAnsi="Times New Roman" w:eastAsia="仿宋_GB2312" w:cs="Times New Roman"/>
          <w:color w:val="000000"/>
          <w:kern w:val="0"/>
          <w:sz w:val="32"/>
          <w:szCs w:val="32"/>
          <w:lang w:eastAsia="zh-CN"/>
        </w:rPr>
        <w:t>监测</w:t>
      </w:r>
      <w:r>
        <w:rPr>
          <w:rFonts w:hint="default" w:ascii="Times New Roman" w:hAnsi="Times New Roman" w:eastAsia="仿宋_GB2312" w:cs="Times New Roman"/>
          <w:color w:val="000000"/>
          <w:kern w:val="0"/>
          <w:sz w:val="32"/>
          <w:szCs w:val="32"/>
          <w:lang w:val="en-US" w:eastAsia="zh-CN"/>
        </w:rPr>
        <w:t>单位</w:t>
      </w:r>
      <w:r>
        <w:rPr>
          <w:rFonts w:hint="default" w:ascii="Times New Roman" w:hAnsi="Times New Roman" w:eastAsia="仿宋_GB2312" w:cs="Times New Roman"/>
          <w:kern w:val="0"/>
          <w:sz w:val="32"/>
          <w:szCs w:val="32"/>
        </w:rPr>
        <w:t>）等代表，并特邀</w:t>
      </w:r>
      <w:r>
        <w:rPr>
          <w:rFonts w:hint="default" w:ascii="Times New Roman" w:hAnsi="Times New Roman" w:eastAsia="仿宋_GB2312" w:cs="Times New Roman"/>
          <w:kern w:val="0"/>
          <w:sz w:val="32"/>
          <w:szCs w:val="32"/>
          <w:lang w:val="en-US" w:eastAsia="zh-CN"/>
        </w:rPr>
        <w:t>3</w:t>
      </w:r>
      <w:r>
        <w:rPr>
          <w:rFonts w:hint="default" w:ascii="Times New Roman" w:hAnsi="Times New Roman" w:eastAsia="仿宋_GB2312" w:cs="Times New Roman"/>
          <w:kern w:val="0"/>
          <w:sz w:val="32"/>
          <w:szCs w:val="32"/>
        </w:rPr>
        <w:t>名专家组成。验收组现场核实了本项目配套环境保护设施的建设与运行情况，查阅了相关资料，经认真讨论后形成了现场验收意见。根据验收组意见，我公司对存在的问题认真进行了整改，现已整改完毕，</w:t>
      </w:r>
      <w:r>
        <w:rPr>
          <w:rFonts w:hint="default" w:ascii="Times New Roman" w:hAnsi="Times New Roman" w:eastAsia="仿宋_GB2312" w:cs="Times New Roman"/>
          <w:kern w:val="0"/>
          <w:sz w:val="32"/>
          <w:szCs w:val="32"/>
          <w:lang w:eastAsia="zh-CN"/>
        </w:rPr>
        <w:t>本</w:t>
      </w:r>
      <w:r>
        <w:rPr>
          <w:rFonts w:hint="default" w:ascii="Times New Roman" w:hAnsi="Times New Roman" w:eastAsia="仿宋_GB2312" w:cs="Times New Roman"/>
          <w:kern w:val="0"/>
          <w:sz w:val="32"/>
          <w:szCs w:val="32"/>
        </w:rPr>
        <w:t>项目符合竣工环保验收条件，验收合格。我公司验收意见如下：</w:t>
      </w:r>
    </w:p>
    <w:p w14:paraId="52678C04">
      <w:pPr>
        <w:keepNext w:val="0"/>
        <w:keepLines w:val="0"/>
        <w:pageBreakBefore w:val="0"/>
        <w:widowControl w:val="0"/>
        <w:kinsoku/>
        <w:wordWrap/>
        <w:overflowPunct/>
        <w:topLinePunct w:val="0"/>
        <w:autoSpaceDE/>
        <w:autoSpaceDN/>
        <w:bidi w:val="0"/>
        <w:adjustRightInd/>
        <w:snapToGrid/>
        <w:ind w:firstLine="643" w:firstLineChars="200"/>
        <w:textAlignment w:val="auto"/>
        <w:outlineLvl w:val="0"/>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一、工程建设的基本情况</w:t>
      </w:r>
    </w:p>
    <w:p w14:paraId="2B35755E">
      <w:pPr>
        <w:keepNext w:val="0"/>
        <w:keepLines w:val="0"/>
        <w:pageBreakBefore w:val="0"/>
        <w:widowControl w:val="0"/>
        <w:kinsoku/>
        <w:wordWrap/>
        <w:overflowPunct/>
        <w:topLinePunct w:val="0"/>
        <w:autoSpaceDE/>
        <w:autoSpaceDN/>
        <w:bidi w:val="0"/>
        <w:adjustRightInd/>
        <w:snapToGrid/>
        <w:ind w:firstLine="643" w:firstLineChars="200"/>
        <w:textAlignment w:val="auto"/>
        <w:outlineLvl w:val="1"/>
        <w:rPr>
          <w:rFonts w:hint="default" w:ascii="Times New Roman" w:hAnsi="Times New Roman" w:eastAsia="仿宋_GB2312" w:cs="Times New Roman"/>
          <w:b/>
          <w:bCs/>
          <w:kern w:val="0"/>
          <w:sz w:val="32"/>
          <w:szCs w:val="32"/>
          <w:lang w:val="en-US" w:eastAsia="zh-CN"/>
        </w:rPr>
      </w:pPr>
      <w:r>
        <w:rPr>
          <w:rFonts w:hint="default" w:ascii="Times New Roman" w:hAnsi="Times New Roman" w:eastAsia="仿宋_GB2312" w:cs="Times New Roman"/>
          <w:b/>
          <w:bCs/>
          <w:kern w:val="0"/>
          <w:sz w:val="32"/>
          <w:szCs w:val="32"/>
          <w:lang w:eastAsia="zh-CN"/>
        </w:rPr>
        <w:t>（</w:t>
      </w:r>
      <w:r>
        <w:rPr>
          <w:rFonts w:hint="default" w:ascii="Times New Roman" w:hAnsi="Times New Roman" w:eastAsia="仿宋_GB2312" w:cs="Times New Roman"/>
          <w:b/>
          <w:bCs/>
          <w:kern w:val="0"/>
          <w:sz w:val="32"/>
          <w:szCs w:val="32"/>
          <w:lang w:val="en-US" w:eastAsia="zh-CN"/>
        </w:rPr>
        <w:t>一</w:t>
      </w:r>
      <w:r>
        <w:rPr>
          <w:rFonts w:hint="default" w:ascii="Times New Roman" w:hAnsi="Times New Roman" w:eastAsia="仿宋_GB2312" w:cs="Times New Roman"/>
          <w:b/>
          <w:bCs/>
          <w:kern w:val="0"/>
          <w:sz w:val="32"/>
          <w:szCs w:val="32"/>
          <w:lang w:eastAsia="zh-CN"/>
        </w:rPr>
        <w:t>）</w:t>
      </w:r>
      <w:r>
        <w:rPr>
          <w:rFonts w:hint="default" w:ascii="Times New Roman" w:hAnsi="Times New Roman" w:eastAsia="仿宋_GB2312" w:cs="Times New Roman"/>
          <w:b/>
          <w:bCs/>
          <w:kern w:val="0"/>
          <w:sz w:val="32"/>
          <w:szCs w:val="32"/>
          <w:lang w:val="en-US" w:eastAsia="zh-CN"/>
        </w:rPr>
        <w:t>建设地点、规模、主要建设内容</w:t>
      </w:r>
    </w:p>
    <w:p w14:paraId="54404F7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建设项目位于茂名市茂南区南方国际汽车产业园北部地块（场址中心坐标为E110.872158°，N21.793772°），项目本身属于环保工程，污水处理量4000t/d，其主要建设内容详见验收监测报告。</w:t>
      </w:r>
    </w:p>
    <w:p w14:paraId="274530AB">
      <w:pPr>
        <w:keepNext w:val="0"/>
        <w:keepLines w:val="0"/>
        <w:pageBreakBefore w:val="0"/>
        <w:widowControl w:val="0"/>
        <w:kinsoku/>
        <w:wordWrap/>
        <w:overflowPunct/>
        <w:topLinePunct w:val="0"/>
        <w:autoSpaceDE/>
        <w:autoSpaceDN/>
        <w:bidi w:val="0"/>
        <w:adjustRightInd/>
        <w:snapToGrid/>
        <w:ind w:firstLine="643" w:firstLineChars="200"/>
        <w:textAlignment w:val="auto"/>
        <w:outlineLvl w:val="1"/>
        <w:rPr>
          <w:rFonts w:hint="default" w:ascii="Times New Roman" w:hAnsi="Times New Roman" w:eastAsia="仿宋_GB2312" w:cs="Times New Roman"/>
          <w:b/>
          <w:bCs/>
          <w:kern w:val="0"/>
          <w:sz w:val="32"/>
          <w:szCs w:val="32"/>
          <w:lang w:val="en-US" w:eastAsia="zh-CN"/>
        </w:rPr>
      </w:pPr>
      <w:r>
        <w:rPr>
          <w:rFonts w:hint="default" w:ascii="Times New Roman" w:hAnsi="Times New Roman" w:eastAsia="仿宋_GB2312" w:cs="Times New Roman"/>
          <w:b/>
          <w:bCs/>
          <w:kern w:val="0"/>
          <w:sz w:val="32"/>
          <w:szCs w:val="32"/>
          <w:lang w:val="en-US" w:eastAsia="zh-CN"/>
        </w:rPr>
        <w:t>（二）建设过程及环保审批情况</w:t>
      </w:r>
    </w:p>
    <w:p w14:paraId="0765C59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2020年12月委托广东环科技术咨询有限公司编制《茂南区南方国际汽车产业园基础设施建设项目（水质净化厂一期工程）环境影响报告书》，2022年1月提交报批稿。2022年1月25日取得《茂名市生态环境局关于茂南区南方国际汽车产业园基础设施建设项目(水质净化厂一期工程)环境影响报告书的批复》（茂环审[2022]4号）。</w:t>
      </w:r>
    </w:p>
    <w:p w14:paraId="402C196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2023年2月10日开工建设，2025年9月2日竣工，2025年8月22日申领排污许可中，排污许可证编号：12440902398167301D001V。2026年1月1日开始调试。</w:t>
      </w:r>
    </w:p>
    <w:p w14:paraId="7D6703CC">
      <w:pPr>
        <w:keepNext w:val="0"/>
        <w:keepLines w:val="0"/>
        <w:pageBreakBefore w:val="0"/>
        <w:widowControl w:val="0"/>
        <w:kinsoku/>
        <w:wordWrap/>
        <w:overflowPunct/>
        <w:topLinePunct w:val="0"/>
        <w:autoSpaceDE/>
        <w:autoSpaceDN/>
        <w:bidi w:val="0"/>
        <w:adjustRightInd/>
        <w:snapToGrid/>
        <w:ind w:firstLine="643" w:firstLineChars="200"/>
        <w:textAlignment w:val="auto"/>
        <w:outlineLvl w:val="1"/>
        <w:rPr>
          <w:rFonts w:hint="default" w:ascii="Times New Roman" w:hAnsi="Times New Roman" w:eastAsia="仿宋_GB2312" w:cs="Times New Roman"/>
          <w:b/>
          <w:bCs/>
          <w:kern w:val="0"/>
          <w:sz w:val="32"/>
          <w:szCs w:val="32"/>
          <w:lang w:val="en-US" w:eastAsia="zh-CN"/>
        </w:rPr>
      </w:pPr>
      <w:r>
        <w:rPr>
          <w:rFonts w:hint="default" w:ascii="Times New Roman" w:hAnsi="Times New Roman" w:eastAsia="仿宋_GB2312" w:cs="Times New Roman"/>
          <w:b/>
          <w:bCs/>
          <w:kern w:val="0"/>
          <w:sz w:val="32"/>
          <w:szCs w:val="32"/>
          <w:lang w:val="en-US" w:eastAsia="zh-CN"/>
        </w:rPr>
        <w:t>（三）投资情况</w:t>
      </w:r>
    </w:p>
    <w:p w14:paraId="29F9697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建设项目本身属于环保项目，环保投资6969.95万元，占总投资的100%。建设项目“三同时”已按照环评及批复落实到位。</w:t>
      </w:r>
    </w:p>
    <w:p w14:paraId="7E93826A">
      <w:pPr>
        <w:keepNext w:val="0"/>
        <w:keepLines w:val="0"/>
        <w:pageBreakBefore w:val="0"/>
        <w:widowControl w:val="0"/>
        <w:kinsoku/>
        <w:wordWrap/>
        <w:overflowPunct/>
        <w:topLinePunct w:val="0"/>
        <w:autoSpaceDE/>
        <w:autoSpaceDN/>
        <w:bidi w:val="0"/>
        <w:adjustRightInd/>
        <w:snapToGrid/>
        <w:ind w:firstLine="643" w:firstLineChars="200"/>
        <w:textAlignment w:val="auto"/>
        <w:outlineLvl w:val="1"/>
        <w:rPr>
          <w:rFonts w:hint="default" w:ascii="Times New Roman" w:hAnsi="Times New Roman" w:eastAsia="仿宋_GB2312" w:cs="Times New Roman"/>
          <w:b/>
          <w:bCs/>
          <w:kern w:val="0"/>
          <w:sz w:val="32"/>
          <w:szCs w:val="32"/>
          <w:lang w:val="en-US" w:eastAsia="zh-CN"/>
        </w:rPr>
      </w:pPr>
      <w:r>
        <w:rPr>
          <w:rFonts w:hint="default" w:ascii="Times New Roman" w:hAnsi="Times New Roman" w:eastAsia="仿宋_GB2312" w:cs="Times New Roman"/>
          <w:b/>
          <w:bCs/>
          <w:kern w:val="0"/>
          <w:sz w:val="32"/>
          <w:szCs w:val="32"/>
          <w:lang w:val="en-US" w:eastAsia="zh-CN"/>
        </w:rPr>
        <w:t>（四）验收范围</w:t>
      </w:r>
    </w:p>
    <w:p w14:paraId="2298A2B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茂南区南方国际汽车产业园基础设施建设项目(水质净化厂一期工程)第一阶段，即污水处理量4000m</w:t>
      </w:r>
      <w:r>
        <w:rPr>
          <w:rFonts w:hint="default" w:ascii="Times New Roman" w:hAnsi="Times New Roman" w:eastAsia="仿宋_GB2312" w:cs="Times New Roman"/>
          <w:kern w:val="0"/>
          <w:sz w:val="32"/>
          <w:szCs w:val="32"/>
          <w:vertAlign w:val="superscript"/>
          <w:lang w:val="en-US" w:eastAsia="zh-CN"/>
        </w:rPr>
        <w:t>3</w:t>
      </w:r>
      <w:r>
        <w:rPr>
          <w:rFonts w:hint="default" w:ascii="Times New Roman" w:hAnsi="Times New Roman" w:eastAsia="仿宋_GB2312" w:cs="Times New Roman"/>
          <w:kern w:val="0"/>
          <w:sz w:val="32"/>
          <w:szCs w:val="32"/>
          <w:lang w:val="en-US" w:eastAsia="zh-CN"/>
        </w:rPr>
        <w:t>/d工程建设内容的验收。</w:t>
      </w:r>
    </w:p>
    <w:p w14:paraId="750922DF">
      <w:pPr>
        <w:keepNext w:val="0"/>
        <w:keepLines w:val="0"/>
        <w:pageBreakBefore w:val="0"/>
        <w:widowControl w:val="0"/>
        <w:kinsoku/>
        <w:wordWrap/>
        <w:overflowPunct/>
        <w:topLinePunct w:val="0"/>
        <w:autoSpaceDE/>
        <w:autoSpaceDN/>
        <w:bidi w:val="0"/>
        <w:adjustRightInd/>
        <w:snapToGrid/>
        <w:ind w:firstLine="643" w:firstLineChars="200"/>
        <w:textAlignment w:val="auto"/>
        <w:outlineLvl w:val="0"/>
        <w:rPr>
          <w:rFonts w:hint="default" w:ascii="Times New Roman" w:hAnsi="Times New Roman" w:eastAsia="仿宋_GB2312" w:cs="Times New Roman"/>
          <w:b/>
          <w:bCs/>
          <w:kern w:val="0"/>
          <w:sz w:val="32"/>
          <w:szCs w:val="32"/>
          <w:lang w:eastAsia="zh-CN"/>
        </w:rPr>
      </w:pPr>
      <w:r>
        <w:rPr>
          <w:rFonts w:hint="default" w:ascii="Times New Roman" w:hAnsi="Times New Roman" w:eastAsia="仿宋_GB2312" w:cs="Times New Roman"/>
          <w:b/>
          <w:bCs/>
          <w:kern w:val="0"/>
          <w:sz w:val="32"/>
          <w:szCs w:val="32"/>
        </w:rPr>
        <w:t>二、项目变更有关情况</w:t>
      </w:r>
    </w:p>
    <w:p w14:paraId="3CCC3C63">
      <w:pPr>
        <w:ind w:firstLine="640" w:firstLineChars="200"/>
        <w:rPr>
          <w:rFonts w:hint="eastAsia" w:ascii="Times New Roman" w:hAnsi="Times New Roman" w:eastAsia="仿宋_GB2312"/>
          <w:color w:val="auto"/>
          <w:kern w:val="0"/>
          <w:sz w:val="32"/>
          <w:szCs w:val="32"/>
          <w:lang w:val="en-US" w:eastAsia="zh-CN"/>
        </w:rPr>
      </w:pPr>
      <w:r>
        <w:rPr>
          <w:rFonts w:hint="eastAsia" w:ascii="Times New Roman" w:hAnsi="Times New Roman" w:eastAsia="仿宋_GB2312"/>
          <w:color w:val="auto"/>
          <w:kern w:val="0"/>
          <w:sz w:val="32"/>
          <w:szCs w:val="32"/>
          <w:lang w:val="en-US" w:eastAsia="zh-CN"/>
        </w:rPr>
        <w:t>1、栅渣、沉砂池废渣、污泥暂作为危险废物委外处理变更为作为一般工业固体废物出售给物资回收公司。</w:t>
      </w:r>
    </w:p>
    <w:p w14:paraId="2101490C">
      <w:pPr>
        <w:ind w:firstLine="640" w:firstLineChars="200"/>
        <w:rPr>
          <w:rFonts w:hint="default" w:ascii="Times New Roman" w:hAnsi="Times New Roman" w:eastAsia="仿宋_GB2312"/>
          <w:color w:val="auto"/>
          <w:kern w:val="0"/>
          <w:sz w:val="32"/>
          <w:szCs w:val="32"/>
          <w:lang w:val="en-US" w:eastAsia="zh-CN"/>
        </w:rPr>
      </w:pPr>
      <w:r>
        <w:rPr>
          <w:rFonts w:hint="eastAsia" w:ascii="Times New Roman" w:hAnsi="Times New Roman" w:eastAsia="仿宋_GB2312"/>
          <w:color w:val="auto"/>
          <w:kern w:val="0"/>
          <w:sz w:val="32"/>
          <w:szCs w:val="32"/>
          <w:lang w:val="en-US" w:eastAsia="zh-CN"/>
        </w:rPr>
        <w:t>2、中水部分由回用于水质净化厂厂区及茂南区南方国际汽车产业园绿化和道路浇洒，部分排入外环境变更为厂内回用，部分排入外环境。</w:t>
      </w:r>
    </w:p>
    <w:p w14:paraId="5E3D9D0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仿宋_GB2312"/>
          <w:color w:val="auto"/>
          <w:kern w:val="0"/>
          <w:sz w:val="32"/>
          <w:szCs w:val="32"/>
          <w:lang w:val="en-US" w:eastAsia="zh-CN"/>
        </w:rPr>
        <w:t>建设项目建设过程中主要环评及其批复建设，虽有少量的变动，依据《水处理建设项目重大变动清单（试行）》和《污染影响类建设项目重大变动清单（试行）》，项目变动部分不属于重大变动。</w:t>
      </w:r>
    </w:p>
    <w:p w14:paraId="20D057BC">
      <w:pPr>
        <w:keepNext w:val="0"/>
        <w:keepLines w:val="0"/>
        <w:pageBreakBefore w:val="0"/>
        <w:widowControl w:val="0"/>
        <w:kinsoku/>
        <w:wordWrap/>
        <w:overflowPunct/>
        <w:topLinePunct w:val="0"/>
        <w:autoSpaceDE/>
        <w:autoSpaceDN/>
        <w:bidi w:val="0"/>
        <w:adjustRightInd/>
        <w:snapToGrid/>
        <w:ind w:firstLine="643" w:firstLineChars="200"/>
        <w:textAlignment w:val="auto"/>
        <w:outlineLvl w:val="0"/>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三、环境保护措施及环境风险防范措施落实情况</w:t>
      </w:r>
    </w:p>
    <w:p w14:paraId="2350C24D">
      <w:pPr>
        <w:keepNext w:val="0"/>
        <w:keepLines w:val="0"/>
        <w:pageBreakBefore w:val="0"/>
        <w:widowControl w:val="0"/>
        <w:kinsoku/>
        <w:wordWrap/>
        <w:overflowPunct/>
        <w:topLinePunct w:val="0"/>
        <w:autoSpaceDE/>
        <w:autoSpaceDN/>
        <w:bidi w:val="0"/>
        <w:adjustRightInd/>
        <w:snapToGrid/>
        <w:ind w:firstLine="643" w:firstLineChars="200"/>
        <w:textAlignment w:val="auto"/>
        <w:outlineLvl w:val="1"/>
        <w:rPr>
          <w:rFonts w:hint="default" w:ascii="Times New Roman" w:hAnsi="Times New Roman" w:eastAsia="仿宋_GB2312" w:cs="Times New Roman"/>
          <w:b/>
          <w:bCs/>
          <w:kern w:val="0"/>
          <w:sz w:val="32"/>
          <w:szCs w:val="32"/>
          <w:lang w:val="en-US" w:eastAsia="zh-CN"/>
        </w:rPr>
      </w:pPr>
      <w:r>
        <w:rPr>
          <w:rFonts w:hint="default" w:ascii="Times New Roman" w:hAnsi="Times New Roman" w:eastAsia="仿宋_GB2312" w:cs="Times New Roman"/>
          <w:b/>
          <w:bCs/>
          <w:kern w:val="0"/>
          <w:sz w:val="32"/>
          <w:szCs w:val="32"/>
          <w:lang w:val="en-US" w:eastAsia="zh-CN"/>
        </w:rPr>
        <w:t>（一）废水</w:t>
      </w:r>
    </w:p>
    <w:p w14:paraId="62B70E3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项目运行过程中会产生生活污水、滤池反冲洗废水、板框机冲洗废水、污泥脱水产生的脱水滤液、化验室废水等。</w:t>
      </w:r>
    </w:p>
    <w:p w14:paraId="2912D13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生活污水、化验室废水纳入厂内的污水处理系统统一处理。滤池反冲洗废水、板框机冲洗废水重新回流到污水处理系统。污泥脱水产生的脱水滤液进入厂区内生化池，进入后续处理工序处理。</w:t>
      </w:r>
    </w:p>
    <w:p w14:paraId="23974D9B">
      <w:pPr>
        <w:keepNext w:val="0"/>
        <w:keepLines w:val="0"/>
        <w:pageBreakBefore w:val="0"/>
        <w:widowControl w:val="0"/>
        <w:kinsoku/>
        <w:wordWrap/>
        <w:overflowPunct/>
        <w:topLinePunct w:val="0"/>
        <w:autoSpaceDE/>
        <w:autoSpaceDN/>
        <w:bidi w:val="0"/>
        <w:adjustRightInd/>
        <w:snapToGrid/>
        <w:ind w:firstLine="643" w:firstLineChars="200"/>
        <w:textAlignment w:val="auto"/>
        <w:outlineLvl w:val="1"/>
        <w:rPr>
          <w:rFonts w:hint="default" w:ascii="Times New Roman" w:hAnsi="Times New Roman" w:eastAsia="仿宋_GB2312" w:cs="Times New Roman"/>
          <w:b/>
          <w:bCs/>
          <w:kern w:val="0"/>
          <w:sz w:val="32"/>
          <w:szCs w:val="32"/>
          <w:lang w:val="en-US" w:eastAsia="zh-CN"/>
        </w:rPr>
      </w:pPr>
      <w:r>
        <w:rPr>
          <w:rFonts w:hint="default" w:ascii="Times New Roman" w:hAnsi="Times New Roman" w:eastAsia="仿宋_GB2312" w:cs="Times New Roman"/>
          <w:b/>
          <w:bCs/>
          <w:kern w:val="0"/>
          <w:sz w:val="32"/>
          <w:szCs w:val="32"/>
          <w:lang w:val="en-US" w:eastAsia="zh-CN"/>
        </w:rPr>
        <w:t>（二）废气</w:t>
      </w:r>
    </w:p>
    <w:p w14:paraId="352F2AA6">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default" w:ascii="Times New Roman" w:hAnsi="Times New Roman" w:eastAsia="仿宋_GB2312" w:cs="Times New Roman"/>
          <w:b/>
          <w:bCs/>
          <w:kern w:val="0"/>
          <w:sz w:val="32"/>
          <w:szCs w:val="32"/>
          <w:lang w:val="en-US" w:eastAsia="zh-CN"/>
        </w:rPr>
      </w:pPr>
      <w:r>
        <w:rPr>
          <w:rFonts w:hint="default" w:ascii="Times New Roman" w:hAnsi="Times New Roman" w:eastAsia="仿宋_GB2312" w:cs="Times New Roman"/>
          <w:b/>
          <w:bCs/>
          <w:kern w:val="0"/>
          <w:sz w:val="32"/>
          <w:szCs w:val="32"/>
          <w:lang w:val="en-US" w:eastAsia="zh-CN"/>
        </w:rPr>
        <w:t>1、生产废气</w:t>
      </w:r>
    </w:p>
    <w:p w14:paraId="061006B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废气来源为粗格栅和提升泵站、细格栅和旋流沉砂池、A</w:t>
      </w:r>
      <w:r>
        <w:rPr>
          <w:rFonts w:hint="default" w:ascii="Times New Roman" w:hAnsi="Times New Roman" w:eastAsia="仿宋_GB2312" w:cs="Times New Roman"/>
          <w:kern w:val="0"/>
          <w:sz w:val="32"/>
          <w:szCs w:val="32"/>
          <w:vertAlign w:val="subscript"/>
          <w:lang w:val="en-US" w:eastAsia="zh-CN"/>
        </w:rPr>
        <w:t>2</w:t>
      </w:r>
      <w:r>
        <w:rPr>
          <w:rFonts w:hint="default" w:ascii="Times New Roman" w:hAnsi="Times New Roman" w:eastAsia="仿宋_GB2312" w:cs="Times New Roman"/>
          <w:kern w:val="0"/>
          <w:sz w:val="32"/>
          <w:szCs w:val="32"/>
          <w:lang w:val="en-US" w:eastAsia="zh-CN"/>
        </w:rPr>
        <w:t>O微曝氧化沟、调节池、污泥浓缩池、污泥脱水间等产生的恶臭气体，主要有NH</w:t>
      </w:r>
      <w:r>
        <w:rPr>
          <w:rFonts w:hint="default" w:ascii="Times New Roman" w:hAnsi="Times New Roman" w:eastAsia="仿宋_GB2312" w:cs="Times New Roman"/>
          <w:kern w:val="0"/>
          <w:sz w:val="32"/>
          <w:szCs w:val="32"/>
          <w:vertAlign w:val="subscript"/>
          <w:lang w:val="en-US" w:eastAsia="zh-CN"/>
        </w:rPr>
        <w:t>3</w:t>
      </w:r>
      <w:r>
        <w:rPr>
          <w:rFonts w:hint="default" w:ascii="Times New Roman" w:hAnsi="Times New Roman" w:eastAsia="仿宋_GB2312" w:cs="Times New Roman"/>
          <w:kern w:val="0"/>
          <w:sz w:val="32"/>
          <w:szCs w:val="32"/>
          <w:lang w:val="en-US" w:eastAsia="zh-CN"/>
        </w:rPr>
        <w:t>、H</w:t>
      </w:r>
      <w:r>
        <w:rPr>
          <w:rFonts w:hint="default" w:ascii="Times New Roman" w:hAnsi="Times New Roman" w:eastAsia="仿宋_GB2312" w:cs="Times New Roman"/>
          <w:kern w:val="0"/>
          <w:sz w:val="32"/>
          <w:szCs w:val="32"/>
          <w:vertAlign w:val="subscript"/>
          <w:lang w:val="en-US" w:eastAsia="zh-CN"/>
        </w:rPr>
        <w:t>2</w:t>
      </w:r>
      <w:r>
        <w:rPr>
          <w:rFonts w:hint="default" w:ascii="Times New Roman" w:hAnsi="Times New Roman" w:eastAsia="仿宋_GB2312" w:cs="Times New Roman"/>
          <w:kern w:val="0"/>
          <w:sz w:val="32"/>
          <w:szCs w:val="32"/>
          <w:lang w:val="en-US" w:eastAsia="zh-CN"/>
        </w:rPr>
        <w:t>S等。</w:t>
      </w:r>
    </w:p>
    <w:p w14:paraId="5A7985C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主要产生臭气的各建（构）筑物中，粗格栅及进水泵站、细格栅及沉砂池、污泥浓缩池均设置集气罩，均采用密闭负压抽气方式，采用密闭负压抽气方式，通过密闭管道引至恶臭处理设施，采取“生物除臭”工艺进行脱臭处理后，由1根15m高排气筒排放。</w:t>
      </w:r>
    </w:p>
    <w:p w14:paraId="083FAF40">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default" w:ascii="Times New Roman" w:hAnsi="Times New Roman" w:eastAsia="仿宋_GB2312" w:cs="Times New Roman"/>
          <w:b/>
          <w:bCs/>
          <w:kern w:val="0"/>
          <w:sz w:val="32"/>
          <w:szCs w:val="32"/>
          <w:lang w:val="en-US" w:eastAsia="zh-CN"/>
        </w:rPr>
      </w:pPr>
      <w:r>
        <w:rPr>
          <w:rFonts w:hint="default" w:ascii="Times New Roman" w:hAnsi="Times New Roman" w:eastAsia="仿宋_GB2312" w:cs="Times New Roman"/>
          <w:b/>
          <w:bCs/>
          <w:kern w:val="0"/>
          <w:sz w:val="32"/>
          <w:szCs w:val="32"/>
          <w:lang w:val="en-US" w:eastAsia="zh-CN"/>
        </w:rPr>
        <w:t>2、食堂油烟</w:t>
      </w:r>
    </w:p>
    <w:p w14:paraId="778E9DA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油烟废气经风管收集后经静电式油烟净化器处理达标引至楼顶排放。</w:t>
      </w:r>
    </w:p>
    <w:p w14:paraId="6A72E1F7">
      <w:pPr>
        <w:keepNext w:val="0"/>
        <w:keepLines w:val="0"/>
        <w:pageBreakBefore w:val="0"/>
        <w:widowControl w:val="0"/>
        <w:kinsoku/>
        <w:wordWrap/>
        <w:overflowPunct/>
        <w:topLinePunct w:val="0"/>
        <w:autoSpaceDE/>
        <w:autoSpaceDN/>
        <w:bidi w:val="0"/>
        <w:adjustRightInd/>
        <w:snapToGrid/>
        <w:ind w:firstLine="643" w:firstLineChars="200"/>
        <w:textAlignment w:val="auto"/>
        <w:outlineLvl w:val="1"/>
        <w:rPr>
          <w:rFonts w:hint="default" w:ascii="Times New Roman" w:hAnsi="Times New Roman" w:eastAsia="仿宋_GB2312" w:cs="Times New Roman"/>
          <w:b/>
          <w:bCs/>
          <w:kern w:val="0"/>
          <w:sz w:val="32"/>
          <w:szCs w:val="32"/>
          <w:lang w:val="en-US" w:eastAsia="zh-CN"/>
        </w:rPr>
      </w:pPr>
      <w:r>
        <w:rPr>
          <w:rFonts w:hint="default" w:ascii="Times New Roman" w:hAnsi="Times New Roman" w:eastAsia="仿宋_GB2312" w:cs="Times New Roman"/>
          <w:b/>
          <w:bCs/>
          <w:kern w:val="0"/>
          <w:sz w:val="32"/>
          <w:szCs w:val="32"/>
          <w:lang w:val="en-US" w:eastAsia="zh-CN"/>
        </w:rPr>
        <w:t>（三）噪声</w:t>
      </w:r>
    </w:p>
    <w:p w14:paraId="2426A45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1）鼓风鼓风机房采用双层墙、双层玻璃窗隔声，鼓风机进出口安装消声器，进出风管及加压泵进出水管均采用可曲挠橡胶接头与设备连接，以阻隔声桥，同时设置隔声罩将鼓风机整体封闭起来，并在罩座下加装减连接，以阻隔声桥，并在罩座下加装减振器。</w:t>
      </w:r>
    </w:p>
    <w:p w14:paraId="1336847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（2）污泥脱水机房、污泥贮运间应采取封闭式建筑，并安装隔声门窗，对污泥切割机、污泥注料泵和卧螺离心机进行基础减振处理。</w:t>
      </w:r>
    </w:p>
    <w:p w14:paraId="72FF8D2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3）高噪声设备在选型时尽量采用噪声低的环保型设备，在安装时应设置减振设施，以降低噪声源强。同时应定期对所有机械、电器设备进行检修维护，防止设备不正常工作带来声污染的增强或产生新的噪声源。</w:t>
      </w:r>
    </w:p>
    <w:p w14:paraId="1285B8E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（4）在生产区和厂前区之间及厂四周建绿化隔离带，绿化带可以控制噪声在声源和保护对象之间空间内的传播，起到吸声和隔声作用。本项目结合臭气防护林要求及噪声防护要求选择树种及栽种方式。</w:t>
      </w:r>
    </w:p>
    <w:p w14:paraId="3B8AE887">
      <w:pPr>
        <w:keepNext w:val="0"/>
        <w:keepLines w:val="0"/>
        <w:pageBreakBefore w:val="0"/>
        <w:widowControl w:val="0"/>
        <w:kinsoku/>
        <w:wordWrap/>
        <w:overflowPunct/>
        <w:topLinePunct w:val="0"/>
        <w:autoSpaceDE/>
        <w:autoSpaceDN/>
        <w:bidi w:val="0"/>
        <w:adjustRightInd/>
        <w:snapToGrid/>
        <w:ind w:firstLine="643" w:firstLineChars="200"/>
        <w:textAlignment w:val="auto"/>
        <w:outlineLvl w:val="1"/>
        <w:rPr>
          <w:rFonts w:hint="default" w:ascii="Times New Roman" w:hAnsi="Times New Roman" w:eastAsia="仿宋_GB2312" w:cs="Times New Roman"/>
          <w:b/>
          <w:bCs/>
          <w:kern w:val="0"/>
          <w:sz w:val="32"/>
          <w:szCs w:val="32"/>
          <w:lang w:val="en-US" w:eastAsia="zh-CN"/>
        </w:rPr>
      </w:pPr>
      <w:r>
        <w:rPr>
          <w:rFonts w:hint="default" w:ascii="Times New Roman" w:hAnsi="Times New Roman" w:eastAsia="仿宋_GB2312" w:cs="Times New Roman"/>
          <w:b/>
          <w:bCs/>
          <w:kern w:val="0"/>
          <w:sz w:val="32"/>
          <w:szCs w:val="32"/>
          <w:lang w:val="en-US" w:eastAsia="zh-CN"/>
        </w:rPr>
        <w:t>（四）固体废物</w:t>
      </w:r>
    </w:p>
    <w:p w14:paraId="233F6C9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建设项目产生的固体废弃物主要为一般工业固体废物（含栅渣、沉砂池废渣、废弃生物填料、废包装袋</w:t>
      </w:r>
      <w:r>
        <w:rPr>
          <w:rFonts w:hint="eastAsia" w:ascii="Times New Roman" w:hAnsi="Times New Roman" w:eastAsia="仿宋_GB2312" w:cs="Times New Roman"/>
          <w:kern w:val="0"/>
          <w:sz w:val="32"/>
          <w:szCs w:val="32"/>
          <w:lang w:val="en-US" w:eastAsia="zh-CN"/>
        </w:rPr>
        <w:t>、</w:t>
      </w:r>
      <w:r>
        <w:rPr>
          <w:rFonts w:hint="default" w:ascii="Times New Roman" w:hAnsi="Times New Roman" w:eastAsia="仿宋_GB2312" w:cs="Times New Roman"/>
          <w:kern w:val="0"/>
          <w:sz w:val="32"/>
          <w:szCs w:val="32"/>
          <w:lang w:val="en-US" w:eastAsia="zh-CN"/>
        </w:rPr>
        <w:t>暂按照</w:t>
      </w:r>
      <w:r>
        <w:rPr>
          <w:rFonts w:hint="eastAsia" w:ascii="Times New Roman" w:hAnsi="Times New Roman" w:eastAsia="仿宋_GB2312" w:cs="Times New Roman"/>
          <w:kern w:val="0"/>
          <w:sz w:val="32"/>
          <w:szCs w:val="32"/>
          <w:lang w:val="en-US" w:eastAsia="zh-CN"/>
        </w:rPr>
        <w:t>一般固体废弃物处置的脱水污泥</w:t>
      </w:r>
      <w:r>
        <w:rPr>
          <w:rFonts w:hint="default" w:ascii="Times New Roman" w:hAnsi="Times New Roman" w:eastAsia="仿宋_GB2312" w:cs="Times New Roman"/>
          <w:kern w:val="0"/>
          <w:sz w:val="32"/>
          <w:szCs w:val="32"/>
          <w:lang w:val="en-US" w:eastAsia="zh-CN"/>
        </w:rPr>
        <w:t>及职工的生活垃圾等），危险废物（含实验室废液及废药剂、在线监测废液、废紫外线灯管、废机油及废含油抹布）。</w:t>
      </w:r>
    </w:p>
    <w:p w14:paraId="4FDFB5D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一般工业固体废物收集后出售给物资回收公司，危险废物委托有资质单位处置，生活垃圾交由环卫部门处理。</w:t>
      </w:r>
    </w:p>
    <w:p w14:paraId="6B9C743C">
      <w:pPr>
        <w:keepNext w:val="0"/>
        <w:keepLines w:val="0"/>
        <w:pageBreakBefore w:val="0"/>
        <w:widowControl w:val="0"/>
        <w:kinsoku/>
        <w:wordWrap/>
        <w:overflowPunct/>
        <w:topLinePunct w:val="0"/>
        <w:autoSpaceDE/>
        <w:autoSpaceDN/>
        <w:bidi w:val="0"/>
        <w:adjustRightInd/>
        <w:snapToGrid/>
        <w:ind w:firstLine="643" w:firstLineChars="200"/>
        <w:textAlignment w:val="auto"/>
        <w:outlineLvl w:val="1"/>
        <w:rPr>
          <w:rFonts w:hint="default" w:ascii="Times New Roman" w:hAnsi="Times New Roman" w:eastAsia="仿宋_GB2312" w:cs="Times New Roman"/>
          <w:b/>
          <w:bCs/>
          <w:kern w:val="0"/>
          <w:sz w:val="32"/>
          <w:szCs w:val="32"/>
          <w:lang w:val="en-US" w:eastAsia="zh-CN"/>
        </w:rPr>
      </w:pPr>
      <w:bookmarkStart w:id="0" w:name="_Toc15061"/>
      <w:r>
        <w:rPr>
          <w:rFonts w:hint="default" w:ascii="Times New Roman" w:hAnsi="Times New Roman" w:eastAsia="仿宋_GB2312" w:cs="Times New Roman"/>
          <w:b/>
          <w:bCs/>
          <w:kern w:val="0"/>
          <w:sz w:val="32"/>
          <w:szCs w:val="32"/>
          <w:lang w:val="en-US" w:eastAsia="zh-CN"/>
        </w:rPr>
        <w:t>（五）其他环境保护设施</w:t>
      </w:r>
      <w:bookmarkEnd w:id="0"/>
    </w:p>
    <w:p w14:paraId="63468FB7">
      <w:pPr>
        <w:keepNext w:val="0"/>
        <w:keepLines w:val="0"/>
        <w:pageBreakBefore w:val="0"/>
        <w:widowControl w:val="0"/>
        <w:kinsoku/>
        <w:wordWrap/>
        <w:overflowPunct/>
        <w:topLinePunct w:val="0"/>
        <w:autoSpaceDE/>
        <w:autoSpaceDN/>
        <w:bidi w:val="0"/>
        <w:adjustRightInd/>
        <w:snapToGrid/>
        <w:ind w:firstLine="643" w:firstLineChars="200"/>
        <w:textAlignment w:val="auto"/>
        <w:outlineLvl w:val="2"/>
        <w:rPr>
          <w:rFonts w:hint="default" w:ascii="Times New Roman" w:hAnsi="Times New Roman" w:eastAsia="仿宋_GB2312" w:cs="Times New Roman"/>
          <w:b/>
          <w:bCs/>
          <w:kern w:val="0"/>
          <w:sz w:val="32"/>
          <w:szCs w:val="32"/>
          <w:lang w:val="en-US" w:eastAsia="zh-CN"/>
        </w:rPr>
      </w:pPr>
      <w:r>
        <w:rPr>
          <w:rFonts w:hint="default" w:ascii="Times New Roman" w:hAnsi="Times New Roman" w:eastAsia="仿宋_GB2312" w:cs="Times New Roman"/>
          <w:b/>
          <w:bCs/>
          <w:kern w:val="0"/>
          <w:sz w:val="32"/>
          <w:szCs w:val="32"/>
          <w:lang w:val="en-US" w:eastAsia="zh-CN"/>
        </w:rPr>
        <w:t>1</w:t>
      </w:r>
      <w:r>
        <w:rPr>
          <w:rFonts w:hint="eastAsia" w:ascii="Times New Roman" w:hAnsi="Times New Roman" w:eastAsia="仿宋_GB2312" w:cs="Times New Roman"/>
          <w:b/>
          <w:bCs/>
          <w:kern w:val="0"/>
          <w:sz w:val="32"/>
          <w:szCs w:val="32"/>
          <w:lang w:val="en-US" w:eastAsia="zh-CN"/>
        </w:rPr>
        <w:t>、</w:t>
      </w:r>
      <w:r>
        <w:rPr>
          <w:rFonts w:hint="default" w:ascii="Times New Roman" w:hAnsi="Times New Roman" w:eastAsia="仿宋_GB2312" w:cs="Times New Roman"/>
          <w:b/>
          <w:bCs/>
          <w:kern w:val="0"/>
          <w:sz w:val="32"/>
          <w:szCs w:val="32"/>
          <w:lang w:val="en-US" w:eastAsia="zh-CN"/>
        </w:rPr>
        <w:t>环境风险防范设施</w:t>
      </w:r>
    </w:p>
    <w:p w14:paraId="57FACCA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①泵站与水质净化厂采用双路供电，水泵设计考虑备用，机械设备采用性能可靠优质产品。</w:t>
      </w:r>
    </w:p>
    <w:p w14:paraId="254FC39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②设置1个容积约2000m</w:t>
      </w:r>
      <w:r>
        <w:rPr>
          <w:rFonts w:hint="default" w:ascii="Times New Roman" w:hAnsi="Times New Roman" w:eastAsia="仿宋_GB2312" w:cs="Times New Roman"/>
          <w:kern w:val="0"/>
          <w:sz w:val="32"/>
          <w:szCs w:val="32"/>
          <w:vertAlign w:val="superscript"/>
          <w:lang w:val="en-US" w:eastAsia="zh-CN"/>
        </w:rPr>
        <w:t>3</w:t>
      </w:r>
      <w:r>
        <w:rPr>
          <w:rFonts w:hint="default" w:ascii="Times New Roman" w:hAnsi="Times New Roman" w:eastAsia="仿宋_GB2312" w:cs="Times New Roman"/>
          <w:kern w:val="0"/>
          <w:sz w:val="32"/>
          <w:szCs w:val="32"/>
          <w:lang w:val="en-US" w:eastAsia="zh-CN"/>
        </w:rPr>
        <w:t>调节池。事故状态下可作为应急池储存废水；在主要水工建筑物的容积上留有相应的缓冲能力，并配有相应的设备（如回流泵、回流管道、阀门及仪表等）。</w:t>
      </w:r>
    </w:p>
    <w:p w14:paraId="14F6267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③选用优质设备，对水质净化厂各种机械电器、仪表等设备，必须选择质量优良、事故率低、便于维修的产品。关键设备应一备一用，易损部件要有备用件，在出现事故时能及时更换。</w:t>
      </w:r>
    </w:p>
    <w:p w14:paraId="28C0E53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④加强事故苗头监控，定期巡检、调节、保养、维修。及时发现有可能引起事故的异常运行苗头，消除事故隐患。</w:t>
      </w:r>
    </w:p>
    <w:p w14:paraId="2ADFA3F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⑤严格控制处理单元的水量、水质、停留时间、负荷强度等工艺参数，确保处理效果的稳定性。配备流量、水质自动分析监控仪器，定期取样监测。操作人员及时调整，使设备处于最佳工况。如发现不正常现象，就需立即采取预防措施。</w:t>
      </w:r>
    </w:p>
    <w:p w14:paraId="5DF4573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⑥加强水质净化厂人员的理论知识和操作技能的培训。</w:t>
      </w:r>
    </w:p>
    <w:p w14:paraId="007EB69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⑦加强运行管理和进出水的监测工作，未经处理达标的污水严禁外排。</w:t>
      </w:r>
    </w:p>
    <w:p w14:paraId="055E8F6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⑧污水泵房设有毒气体监测仪，并配备必要的通风装置。</w:t>
      </w:r>
    </w:p>
    <w:p w14:paraId="4044485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⑨恶臭气体吸收装置应加强维护管理，避免故障运行。</w:t>
      </w:r>
    </w:p>
    <w:p w14:paraId="1CCD9CB4">
      <w:pPr>
        <w:keepNext w:val="0"/>
        <w:keepLines w:val="0"/>
        <w:pageBreakBefore w:val="0"/>
        <w:widowControl w:val="0"/>
        <w:kinsoku/>
        <w:wordWrap/>
        <w:overflowPunct/>
        <w:topLinePunct w:val="0"/>
        <w:autoSpaceDE/>
        <w:autoSpaceDN/>
        <w:bidi w:val="0"/>
        <w:adjustRightInd/>
        <w:snapToGrid/>
        <w:ind w:firstLine="643" w:firstLineChars="200"/>
        <w:textAlignment w:val="auto"/>
        <w:outlineLvl w:val="2"/>
        <w:rPr>
          <w:rFonts w:hint="default" w:ascii="Times New Roman" w:hAnsi="Times New Roman" w:eastAsia="仿宋_GB2312" w:cs="Times New Roman"/>
          <w:b/>
          <w:bCs/>
          <w:kern w:val="0"/>
          <w:sz w:val="32"/>
          <w:szCs w:val="32"/>
          <w:lang w:val="en-US" w:eastAsia="zh-CN"/>
        </w:rPr>
      </w:pPr>
      <w:r>
        <w:rPr>
          <w:rFonts w:hint="default" w:ascii="Times New Roman" w:hAnsi="Times New Roman" w:eastAsia="仿宋_GB2312" w:cs="Times New Roman"/>
          <w:b/>
          <w:bCs/>
          <w:kern w:val="0"/>
          <w:sz w:val="32"/>
          <w:szCs w:val="32"/>
          <w:lang w:val="en-US" w:eastAsia="zh-CN"/>
        </w:rPr>
        <w:t>2</w:t>
      </w:r>
      <w:r>
        <w:rPr>
          <w:rFonts w:hint="eastAsia" w:ascii="Times New Roman" w:hAnsi="Times New Roman" w:eastAsia="仿宋_GB2312" w:cs="Times New Roman"/>
          <w:b/>
          <w:bCs/>
          <w:kern w:val="0"/>
          <w:sz w:val="32"/>
          <w:szCs w:val="32"/>
          <w:lang w:val="en-US" w:eastAsia="zh-CN"/>
        </w:rPr>
        <w:t>、</w:t>
      </w:r>
      <w:r>
        <w:rPr>
          <w:rFonts w:hint="default" w:ascii="Times New Roman" w:hAnsi="Times New Roman" w:eastAsia="仿宋_GB2312" w:cs="Times New Roman"/>
          <w:b/>
          <w:bCs/>
          <w:kern w:val="0"/>
          <w:sz w:val="32"/>
          <w:szCs w:val="32"/>
          <w:lang w:val="en-US" w:eastAsia="zh-CN"/>
        </w:rPr>
        <w:t>规范化排污口、监测设施及在线监测装置</w:t>
      </w:r>
    </w:p>
    <w:p w14:paraId="6D64F8B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建设项目建设有规范化排污口；废水排放口安装有在线监测装置，对pH、化学需氧量、氨氮、流量、总氮、总磷等安装有在线监测设备；进水口对化学需氧量、氨氮、总磷、总氮等安装有在线监测设备。</w:t>
      </w:r>
      <w:r>
        <w:rPr>
          <w:rFonts w:hint="default" w:ascii="Times New Roman" w:hAnsi="Times New Roman" w:eastAsia="仿宋_GB2312"/>
          <w:kern w:val="0"/>
          <w:sz w:val="32"/>
          <w:szCs w:val="32"/>
          <w:lang w:val="en-US" w:eastAsia="zh-CN"/>
        </w:rPr>
        <w:t>在线监测设备于2026年8月20日通过验收，8月27日在茂名市环境保护产业协会公示。</w:t>
      </w:r>
    </w:p>
    <w:p w14:paraId="43006C70">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3" w:firstLineChars="200"/>
        <w:jc w:val="both"/>
        <w:textAlignment w:val="auto"/>
        <w:outlineLvl w:val="0"/>
        <w:rPr>
          <w:rFonts w:hint="default" w:ascii="Times New Roman" w:hAnsi="Times New Roman" w:eastAsia="仿宋_GB2312" w:cs="Times New Roman"/>
          <w:b/>
          <w:bCs/>
          <w:kern w:val="0"/>
          <w:sz w:val="32"/>
          <w:szCs w:val="32"/>
          <w:lang w:val="en-US" w:eastAsia="zh-CN"/>
        </w:rPr>
      </w:pPr>
      <w:r>
        <w:rPr>
          <w:rFonts w:hint="default" w:ascii="Times New Roman" w:hAnsi="Times New Roman" w:eastAsia="仿宋_GB2312" w:cs="Times New Roman"/>
          <w:b/>
          <w:bCs/>
          <w:kern w:val="0"/>
          <w:sz w:val="32"/>
          <w:szCs w:val="32"/>
        </w:rPr>
        <w:t>四、环境保护设施运</w:t>
      </w:r>
      <w:r>
        <w:rPr>
          <w:rFonts w:hint="eastAsia" w:ascii="Times New Roman" w:hAnsi="Times New Roman" w:eastAsia="仿宋_GB2312" w:cs="Times New Roman"/>
          <w:b/>
          <w:bCs/>
          <w:kern w:val="0"/>
          <w:sz w:val="32"/>
          <w:szCs w:val="32"/>
          <w:lang w:val="en-US" w:eastAsia="zh-CN"/>
        </w:rPr>
        <w:t>调试效果</w:t>
      </w:r>
    </w:p>
    <w:p w14:paraId="321A337E">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3" w:firstLineChars="200"/>
        <w:jc w:val="both"/>
        <w:textAlignment w:val="auto"/>
        <w:outlineLvl w:val="1"/>
      </w:pPr>
      <w:r>
        <w:rPr>
          <w:rFonts w:hint="default" w:ascii="Times New Roman" w:hAnsi="Times New Roman" w:eastAsia="仿宋_GB2312" w:cs="Times New Roman"/>
          <w:b/>
          <w:bCs/>
          <w:kern w:val="0"/>
          <w:sz w:val="32"/>
          <w:szCs w:val="32"/>
          <w:lang w:val="en-US" w:eastAsia="zh-CN"/>
        </w:rPr>
        <w:t>（一）环保设施</w:t>
      </w:r>
      <w:r>
        <w:rPr>
          <w:rFonts w:hint="eastAsia" w:ascii="Times New Roman" w:hAnsi="Times New Roman" w:eastAsia="仿宋_GB2312" w:cs="Times New Roman"/>
          <w:b/>
          <w:bCs/>
          <w:kern w:val="0"/>
          <w:sz w:val="32"/>
          <w:szCs w:val="32"/>
          <w:lang w:val="en-US" w:eastAsia="zh-CN"/>
        </w:rPr>
        <w:t>运营情况</w:t>
      </w:r>
    </w:p>
    <w:p w14:paraId="2733C5EE">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640" w:firstLineChars="200"/>
        <w:jc w:val="both"/>
        <w:textAlignment w:val="auto"/>
        <w:outlineLvl w:val="9"/>
        <w:rPr>
          <w:rFonts w:hint="default" w:ascii="Times New Roman" w:hAnsi="Times New Roman" w:eastAsia="仿宋_GB2312"/>
          <w:kern w:val="0"/>
          <w:sz w:val="32"/>
          <w:szCs w:val="32"/>
          <w:lang w:val="en-US" w:eastAsia="zh-CN"/>
        </w:rPr>
      </w:pPr>
      <w:r>
        <w:rPr>
          <w:rFonts w:hint="eastAsia" w:ascii="Times New Roman" w:hAnsi="Times New Roman" w:eastAsia="仿宋_GB2312"/>
          <w:kern w:val="0"/>
          <w:sz w:val="32"/>
          <w:szCs w:val="32"/>
          <w:lang w:val="en-US" w:eastAsia="zh-CN"/>
        </w:rPr>
        <w:t>根据在线监测数据，</w:t>
      </w:r>
      <w:r>
        <w:rPr>
          <w:rFonts w:hint="default" w:ascii="Times New Roman" w:hAnsi="Times New Roman" w:eastAsia="仿宋_GB2312"/>
          <w:kern w:val="0"/>
          <w:sz w:val="32"/>
          <w:szCs w:val="32"/>
          <w:lang w:val="en-US" w:eastAsia="zh-CN"/>
        </w:rPr>
        <w:t>2026年6月1日至8月25日，进水、出水总量分别为157837.01m</w:t>
      </w:r>
      <w:r>
        <w:rPr>
          <w:rFonts w:hint="default" w:ascii="Times New Roman" w:hAnsi="Times New Roman" w:eastAsia="仿宋_GB2312"/>
          <w:kern w:val="0"/>
          <w:sz w:val="32"/>
          <w:szCs w:val="32"/>
          <w:vertAlign w:val="superscript"/>
          <w:lang w:val="en-US" w:eastAsia="zh-CN"/>
        </w:rPr>
        <w:t>3</w:t>
      </w:r>
      <w:r>
        <w:rPr>
          <w:rFonts w:hint="default" w:ascii="Times New Roman" w:hAnsi="Times New Roman" w:eastAsia="仿宋_GB2312"/>
          <w:kern w:val="0"/>
          <w:sz w:val="32"/>
          <w:szCs w:val="32"/>
          <w:lang w:val="en-US" w:eastAsia="zh-CN"/>
        </w:rPr>
        <w:t>、186610.70m</w:t>
      </w:r>
      <w:r>
        <w:rPr>
          <w:rFonts w:hint="default" w:ascii="Times New Roman" w:hAnsi="Times New Roman" w:eastAsia="仿宋_GB2312"/>
          <w:kern w:val="0"/>
          <w:sz w:val="32"/>
          <w:szCs w:val="32"/>
          <w:vertAlign w:val="superscript"/>
          <w:lang w:val="en-US" w:eastAsia="zh-CN"/>
        </w:rPr>
        <w:t>3</w:t>
      </w:r>
      <w:r>
        <w:rPr>
          <w:rFonts w:hint="eastAsia" w:ascii="Times New Roman" w:hAnsi="Times New Roman" w:eastAsia="仿宋_GB2312"/>
          <w:kern w:val="0"/>
          <w:sz w:val="32"/>
          <w:szCs w:val="32"/>
          <w:lang w:val="en-US" w:eastAsia="zh-CN"/>
        </w:rPr>
        <w:t>。</w:t>
      </w:r>
    </w:p>
    <w:p w14:paraId="463E7C74">
      <w:pPr>
        <w:keepNext w:val="0"/>
        <w:keepLines w:val="0"/>
        <w:pageBreakBefore w:val="0"/>
        <w:kinsoku/>
        <w:overflowPunct/>
        <w:topLinePunct w:val="0"/>
        <w:autoSpaceDE/>
        <w:autoSpaceDN/>
        <w:bidi w:val="0"/>
        <w:adjustRightInd/>
        <w:snapToGrid/>
        <w:spacing w:beforeAutospacing="0" w:afterAutospacing="0" w:line="240" w:lineRule="auto"/>
        <w:ind w:firstLine="640" w:firstLineChars="200"/>
        <w:jc w:val="both"/>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色度处理效率为96.67%~97.50%，悬浮物处理效率为93.81%~95.79%，化学需氧量处理效率为91.54%~95.19%，五日生化需氧量处理效率为94.28%~95.59%，氨氮处理效率为91.62%~93.77%，总磷处理效率为93.71%~96.00%，总氮处理效率为26.51%~47.41%。</w:t>
      </w:r>
    </w:p>
    <w:p w14:paraId="481FEBEC">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3" w:firstLineChars="200"/>
        <w:jc w:val="both"/>
        <w:textAlignment w:val="auto"/>
        <w:outlineLvl w:val="1"/>
        <w:rPr>
          <w:rFonts w:hint="default" w:ascii="Times New Roman" w:hAnsi="Times New Roman" w:eastAsia="仿宋_GB2312" w:cs="Times New Roman"/>
          <w:b/>
          <w:bCs/>
          <w:kern w:val="0"/>
          <w:sz w:val="32"/>
          <w:szCs w:val="32"/>
          <w:lang w:val="en-US" w:eastAsia="zh-CN"/>
        </w:rPr>
      </w:pPr>
      <w:r>
        <w:rPr>
          <w:rFonts w:hint="default" w:ascii="Times New Roman" w:hAnsi="Times New Roman" w:eastAsia="仿宋_GB2312" w:cs="Times New Roman"/>
          <w:b/>
          <w:bCs/>
          <w:kern w:val="0"/>
          <w:sz w:val="32"/>
          <w:szCs w:val="32"/>
          <w:lang w:val="en-US" w:eastAsia="zh-CN"/>
        </w:rPr>
        <w:t>（二）污染物排放情况</w:t>
      </w:r>
    </w:p>
    <w:p w14:paraId="04EA2021">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3" w:firstLineChars="200"/>
        <w:jc w:val="both"/>
        <w:textAlignment w:val="auto"/>
        <w:outlineLvl w:val="2"/>
        <w:rPr>
          <w:rFonts w:hint="default" w:ascii="Times New Roman" w:hAnsi="Times New Roman" w:eastAsia="仿宋_GB2312" w:cs="Times New Roman"/>
          <w:b/>
          <w:bCs/>
          <w:kern w:val="0"/>
          <w:sz w:val="32"/>
          <w:szCs w:val="32"/>
          <w:lang w:val="en-US" w:eastAsia="zh-CN"/>
        </w:rPr>
      </w:pPr>
      <w:r>
        <w:rPr>
          <w:rFonts w:hint="default" w:ascii="Times New Roman" w:hAnsi="Times New Roman" w:eastAsia="仿宋_GB2312" w:cs="Times New Roman"/>
          <w:b/>
          <w:bCs/>
          <w:kern w:val="0"/>
          <w:sz w:val="32"/>
          <w:szCs w:val="32"/>
          <w:lang w:val="en-US" w:eastAsia="zh-CN"/>
        </w:rPr>
        <w:t>1、废水</w:t>
      </w:r>
    </w:p>
    <w:p w14:paraId="0CAD05D9">
      <w:pPr>
        <w:keepNext w:val="0"/>
        <w:keepLines w:val="0"/>
        <w:pageBreakBefore w:val="0"/>
        <w:kinsoku/>
        <w:overflowPunct/>
        <w:topLinePunct w:val="0"/>
        <w:autoSpaceDE/>
        <w:autoSpaceDN/>
        <w:bidi w:val="0"/>
        <w:adjustRightInd/>
        <w:snapToGrid/>
        <w:spacing w:beforeAutospacing="0" w:afterAutospacing="0" w:line="240" w:lineRule="auto"/>
        <w:ind w:firstLine="640" w:firstLineChars="200"/>
        <w:jc w:val="both"/>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出水污染物排放COD</w:t>
      </w:r>
      <w:r>
        <w:rPr>
          <w:rFonts w:hint="default" w:ascii="Times New Roman" w:hAnsi="Times New Roman" w:eastAsia="仿宋_GB2312" w:cs="Times New Roman"/>
          <w:kern w:val="0"/>
          <w:sz w:val="32"/>
          <w:szCs w:val="32"/>
          <w:vertAlign w:val="subscript"/>
          <w:lang w:val="en-US" w:eastAsia="zh-CN"/>
        </w:rPr>
        <w:t>cr</w:t>
      </w:r>
      <w:r>
        <w:rPr>
          <w:rFonts w:hint="default" w:ascii="Times New Roman" w:hAnsi="Times New Roman" w:eastAsia="仿宋_GB2312" w:cs="Times New Roman"/>
          <w:kern w:val="0"/>
          <w:sz w:val="32"/>
          <w:szCs w:val="32"/>
          <w:lang w:val="en-US" w:eastAsia="zh-CN"/>
        </w:rPr>
        <w:t>、氨氮、BOD₅、总磷排放浓度符合《地表水环境质量标准》(GB3838-2002)IV类标准，其他排放指标排放浓度符合《城镇污水处理厂污染物排放标准》(GB18918一2002，含2006年、2025年修改单)表1~表4一级A标准、广东省地方标准《水污染物排放限值》(DB44/26-2001)表4第二时段一级标准、《小东江流域水污染物排放标准》(DB44/2155-2019 )表1中城镇污水处理广及《汽车维修业水污染物排放标准》(GB26877-2011)表2直接排放标准中的较严值要求。</w:t>
      </w:r>
    </w:p>
    <w:p w14:paraId="4F288F66">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3" w:firstLineChars="200"/>
        <w:jc w:val="both"/>
        <w:textAlignment w:val="auto"/>
        <w:outlineLvl w:val="2"/>
        <w:rPr>
          <w:rFonts w:hint="default" w:ascii="Times New Roman" w:hAnsi="Times New Roman" w:eastAsia="仿宋_GB2312" w:cs="Times New Roman"/>
          <w:b/>
          <w:bCs/>
          <w:kern w:val="0"/>
          <w:sz w:val="32"/>
          <w:szCs w:val="32"/>
          <w:lang w:val="en-US" w:eastAsia="zh-CN"/>
        </w:rPr>
      </w:pPr>
      <w:r>
        <w:rPr>
          <w:rFonts w:hint="default" w:ascii="Times New Roman" w:hAnsi="Times New Roman" w:eastAsia="仿宋_GB2312" w:cs="Times New Roman"/>
          <w:b/>
          <w:bCs/>
          <w:kern w:val="0"/>
          <w:sz w:val="32"/>
          <w:szCs w:val="32"/>
          <w:lang w:val="en-US" w:eastAsia="zh-CN"/>
        </w:rPr>
        <w:t>2、废气</w:t>
      </w:r>
    </w:p>
    <w:p w14:paraId="289C1C4B">
      <w:pPr>
        <w:keepNext w:val="0"/>
        <w:keepLines w:val="0"/>
        <w:pageBreakBefore w:val="0"/>
        <w:kinsoku/>
        <w:overflowPunct/>
        <w:topLinePunct w:val="0"/>
        <w:autoSpaceDE/>
        <w:autoSpaceDN/>
        <w:bidi w:val="0"/>
        <w:adjustRightInd/>
        <w:snapToGrid/>
        <w:spacing w:beforeAutospacing="0" w:afterAutospacing="0" w:line="240" w:lineRule="auto"/>
        <w:ind w:firstLine="640" w:firstLineChars="200"/>
        <w:jc w:val="both"/>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有组织废气硫化氢、氨、臭气浓度检测结果均符合《恶臭污染物排放标准》（GB/T 14554-1993）表2恶臭污染物排放标准值要求。</w:t>
      </w:r>
    </w:p>
    <w:p w14:paraId="5E9EF2F6">
      <w:pPr>
        <w:keepNext w:val="0"/>
        <w:keepLines w:val="0"/>
        <w:pageBreakBefore w:val="0"/>
        <w:kinsoku/>
        <w:overflowPunct/>
        <w:topLinePunct w:val="0"/>
        <w:autoSpaceDE/>
        <w:autoSpaceDN/>
        <w:bidi w:val="0"/>
        <w:adjustRightInd/>
        <w:snapToGrid/>
        <w:spacing w:beforeAutospacing="0" w:afterAutospacing="0" w:line="240" w:lineRule="auto"/>
        <w:ind w:firstLine="640" w:firstLineChars="200"/>
        <w:jc w:val="both"/>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饮食业油烟排放浓度符合《饮食业油烟排放标准》（试行）（GB 18483-2001）表2最高允许排放浓度限值要求。</w:t>
      </w:r>
    </w:p>
    <w:p w14:paraId="472C0115">
      <w:pPr>
        <w:keepNext w:val="0"/>
        <w:keepLines w:val="0"/>
        <w:pageBreakBefore w:val="0"/>
        <w:kinsoku/>
        <w:overflowPunct/>
        <w:topLinePunct w:val="0"/>
        <w:autoSpaceDE/>
        <w:autoSpaceDN/>
        <w:bidi w:val="0"/>
        <w:adjustRightInd/>
        <w:snapToGrid/>
        <w:spacing w:beforeAutospacing="0" w:afterAutospacing="0" w:line="240" w:lineRule="auto"/>
        <w:ind w:firstLine="640" w:firstLineChars="200"/>
        <w:jc w:val="both"/>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厂界无组织废气氨、硫化氢、臭气浓度检测结果均符合《城镇污水处理厂污染物排放标准》（GB 18918-2002）及其修改单表6二级标准要求。</w:t>
      </w:r>
    </w:p>
    <w:p w14:paraId="7D9912F0">
      <w:pPr>
        <w:keepNext w:val="0"/>
        <w:keepLines w:val="0"/>
        <w:pageBreakBefore w:val="0"/>
        <w:kinsoku/>
        <w:overflowPunct/>
        <w:topLinePunct w:val="0"/>
        <w:autoSpaceDE/>
        <w:autoSpaceDN/>
        <w:bidi w:val="0"/>
        <w:adjustRightInd/>
        <w:snapToGrid/>
        <w:spacing w:beforeAutospacing="0" w:afterAutospacing="0" w:line="240" w:lineRule="auto"/>
        <w:ind w:firstLine="640" w:firstLineChars="200"/>
        <w:jc w:val="both"/>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厂区内无组织废气甲烷检测结果符合《城镇污水处理厂污染物排放标准》（GB 18918-2002）及其修改单表6二级标准要求。</w:t>
      </w:r>
    </w:p>
    <w:p w14:paraId="0CCF065E">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3" w:firstLineChars="200"/>
        <w:jc w:val="both"/>
        <w:textAlignment w:val="auto"/>
        <w:outlineLvl w:val="2"/>
        <w:rPr>
          <w:rFonts w:hint="default" w:ascii="Times New Roman" w:hAnsi="Times New Roman" w:eastAsia="仿宋_GB2312" w:cs="Times New Roman"/>
          <w:b/>
          <w:bCs/>
          <w:kern w:val="0"/>
          <w:sz w:val="32"/>
          <w:szCs w:val="32"/>
          <w:lang w:val="en-US" w:eastAsia="zh-CN"/>
        </w:rPr>
      </w:pPr>
      <w:r>
        <w:rPr>
          <w:rFonts w:hint="default" w:ascii="Times New Roman" w:hAnsi="Times New Roman" w:eastAsia="仿宋_GB2312" w:cs="Times New Roman"/>
          <w:b/>
          <w:bCs/>
          <w:kern w:val="0"/>
          <w:sz w:val="32"/>
          <w:szCs w:val="32"/>
          <w:lang w:val="en-US" w:eastAsia="zh-CN"/>
        </w:rPr>
        <w:t>3、厂界噪声</w:t>
      </w:r>
    </w:p>
    <w:p w14:paraId="6DFDDEB2">
      <w:pPr>
        <w:keepNext w:val="0"/>
        <w:keepLines w:val="0"/>
        <w:pageBreakBefore w:val="0"/>
        <w:kinsoku/>
        <w:overflowPunct/>
        <w:topLinePunct w:val="0"/>
        <w:autoSpaceDE/>
        <w:autoSpaceDN/>
        <w:bidi w:val="0"/>
        <w:adjustRightInd/>
        <w:snapToGrid/>
        <w:spacing w:beforeAutospacing="0" w:afterAutospacing="0" w:line="240" w:lineRule="auto"/>
        <w:ind w:firstLine="640" w:firstLineChars="200"/>
        <w:jc w:val="both"/>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厂界噪声符合《工业企业厂界环境噪声排放标准》（GB 12348-2008）3类限值要求。</w:t>
      </w:r>
    </w:p>
    <w:p w14:paraId="39475648">
      <w:pPr>
        <w:keepNext w:val="0"/>
        <w:keepLines w:val="0"/>
        <w:pageBreakBefore w:val="0"/>
        <w:kinsoku/>
        <w:overflowPunct/>
        <w:topLinePunct w:val="0"/>
        <w:autoSpaceDE/>
        <w:autoSpaceDN/>
        <w:bidi w:val="0"/>
        <w:adjustRightInd/>
        <w:snapToGrid/>
        <w:spacing w:beforeAutospacing="0" w:afterAutospacing="0" w:line="240" w:lineRule="auto"/>
        <w:ind w:firstLine="640" w:firstLineChars="200"/>
        <w:jc w:val="both"/>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4、建设项目所在区域地下水符合《地下水质量标准》（GB/T 14848-2017）表1 Ⅲ类限值。</w:t>
      </w:r>
    </w:p>
    <w:p w14:paraId="032525FD">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3" w:firstLineChars="200"/>
        <w:jc w:val="both"/>
        <w:textAlignment w:val="auto"/>
        <w:outlineLvl w:val="2"/>
        <w:rPr>
          <w:rFonts w:hint="default" w:ascii="Times New Roman" w:hAnsi="Times New Roman" w:eastAsia="仿宋_GB2312" w:cs="Times New Roman"/>
          <w:b/>
          <w:bCs/>
          <w:kern w:val="0"/>
          <w:sz w:val="32"/>
          <w:szCs w:val="32"/>
          <w:lang w:val="en-US" w:eastAsia="zh-CN"/>
        </w:rPr>
      </w:pPr>
      <w:r>
        <w:rPr>
          <w:rFonts w:hint="default" w:ascii="Times New Roman" w:hAnsi="Times New Roman" w:eastAsia="仿宋_GB2312" w:cs="Times New Roman"/>
          <w:b/>
          <w:bCs/>
          <w:kern w:val="0"/>
          <w:sz w:val="32"/>
          <w:szCs w:val="32"/>
          <w:lang w:val="en-US" w:eastAsia="zh-CN"/>
        </w:rPr>
        <w:t>5、污染物排放总量</w:t>
      </w:r>
    </w:p>
    <w:p w14:paraId="1633E84E">
      <w:pPr>
        <w:keepNext w:val="0"/>
        <w:keepLines w:val="0"/>
        <w:pageBreakBefore w:val="0"/>
        <w:kinsoku/>
        <w:overflowPunct/>
        <w:topLinePunct w:val="0"/>
        <w:autoSpaceDE/>
        <w:autoSpaceDN/>
        <w:bidi w:val="0"/>
        <w:adjustRightInd/>
        <w:snapToGrid/>
        <w:spacing w:beforeAutospacing="0" w:afterAutospacing="0" w:line="240" w:lineRule="auto"/>
        <w:ind w:firstLine="640" w:firstLineChars="200"/>
        <w:jc w:val="both"/>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化学需氧量年排放量为25.03t/a&lt;40.22t/a，氨氮年排放量为1.65t/a&lt;2.01t/a，总氮年排放量为</w:t>
      </w:r>
      <w:r>
        <w:rPr>
          <w:rFonts w:hint="default" w:ascii="Times New Roman" w:hAnsi="Times New Roman" w:eastAsia="仿宋_GB2312" w:cs="Times New Roman"/>
          <w:kern w:val="0"/>
          <w:sz w:val="32"/>
          <w:szCs w:val="32"/>
        </w:rPr>
        <w:t>16.8</w:t>
      </w:r>
      <w:r>
        <w:rPr>
          <w:rFonts w:hint="default" w:ascii="Times New Roman" w:hAnsi="Times New Roman" w:eastAsia="仿宋_GB2312" w:cs="Times New Roman"/>
          <w:kern w:val="0"/>
          <w:sz w:val="32"/>
          <w:szCs w:val="32"/>
          <w:lang w:val="en-US" w:eastAsia="zh-CN"/>
        </w:rPr>
        <w:t>7t/a&lt;20.11t/a，总磷年排放量为</w:t>
      </w:r>
      <w:r>
        <w:rPr>
          <w:rFonts w:hint="default" w:ascii="Times New Roman" w:hAnsi="Times New Roman" w:eastAsia="仿宋_GB2312" w:cs="Times New Roman"/>
          <w:kern w:val="0"/>
          <w:sz w:val="32"/>
          <w:szCs w:val="32"/>
        </w:rPr>
        <w:t>0.1</w:t>
      </w:r>
      <w:r>
        <w:rPr>
          <w:rFonts w:hint="default" w:ascii="Times New Roman" w:hAnsi="Times New Roman" w:eastAsia="仿宋_GB2312" w:cs="Times New Roman"/>
          <w:kern w:val="0"/>
          <w:sz w:val="32"/>
          <w:szCs w:val="32"/>
          <w:lang w:val="en-US" w:eastAsia="zh-CN"/>
        </w:rPr>
        <w:t>1&lt;0.67t/a，年排放总量符合总量指标。</w:t>
      </w:r>
    </w:p>
    <w:p w14:paraId="327C2B70">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3" w:firstLineChars="200"/>
        <w:jc w:val="both"/>
        <w:textAlignment w:val="auto"/>
        <w:outlineLvl w:val="0"/>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lang w:val="en-US" w:eastAsia="zh-CN"/>
        </w:rPr>
        <w:t>五</w:t>
      </w:r>
      <w:r>
        <w:rPr>
          <w:rFonts w:hint="default" w:ascii="Times New Roman" w:hAnsi="Times New Roman" w:eastAsia="仿宋_GB2312" w:cs="Times New Roman"/>
          <w:b/>
          <w:bCs/>
          <w:kern w:val="0"/>
          <w:sz w:val="32"/>
          <w:szCs w:val="32"/>
        </w:rPr>
        <w:t>、验收结论和后续要求</w:t>
      </w:r>
    </w:p>
    <w:p w14:paraId="63D86E59">
      <w:pPr>
        <w:keepNext w:val="0"/>
        <w:keepLines w:val="0"/>
        <w:pageBreakBefore w:val="0"/>
        <w:kinsoku/>
        <w:overflowPunct/>
        <w:topLinePunct w:val="0"/>
        <w:autoSpaceDE/>
        <w:autoSpaceDN/>
        <w:bidi w:val="0"/>
        <w:adjustRightInd/>
        <w:snapToGrid/>
        <w:spacing w:beforeAutospacing="0" w:afterAutospacing="0" w:line="240" w:lineRule="auto"/>
        <w:ind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茂南区南方国际汽车产业园基础设施建设项目（水质净化厂一期工程）第一阶段工程</w:t>
      </w:r>
      <w:r>
        <w:rPr>
          <w:rFonts w:hint="default" w:ascii="Times New Roman" w:hAnsi="Times New Roman" w:eastAsia="仿宋_GB2312" w:cs="Times New Roman"/>
          <w:kern w:val="0"/>
          <w:sz w:val="32"/>
          <w:szCs w:val="32"/>
          <w:lang w:eastAsia="zh-CN"/>
        </w:rPr>
        <w:t>项目</w:t>
      </w:r>
      <w:r>
        <w:rPr>
          <w:rFonts w:hint="default" w:ascii="Times New Roman" w:hAnsi="Times New Roman" w:eastAsia="仿宋_GB2312" w:cs="Times New Roman"/>
          <w:kern w:val="0"/>
          <w:sz w:val="32"/>
          <w:szCs w:val="32"/>
        </w:rPr>
        <w:t>在实施过程中落实了环境影响评价文件及其批复要求，配套建设了相应的环境保护设施，落实了相应的环境保护措施，验收合格，同意主体工程正式投入运营。</w:t>
      </w:r>
    </w:p>
    <w:p w14:paraId="0B43DC00">
      <w:pPr>
        <w:keepNext w:val="0"/>
        <w:keepLines w:val="0"/>
        <w:pageBreakBefore w:val="0"/>
        <w:kinsoku/>
        <w:overflowPunct/>
        <w:topLinePunct w:val="0"/>
        <w:autoSpaceDE/>
        <w:autoSpaceDN/>
        <w:bidi w:val="0"/>
        <w:adjustRightInd/>
        <w:snapToGrid/>
        <w:spacing w:beforeAutospacing="0" w:afterAutospacing="0" w:line="240" w:lineRule="auto"/>
        <w:ind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工程正式投入运营后，我公司将继续做好如下工作：</w:t>
      </w:r>
    </w:p>
    <w:p w14:paraId="13FC162F">
      <w:pPr>
        <w:keepNext w:val="0"/>
        <w:keepLines w:val="0"/>
        <w:pageBreakBefore w:val="0"/>
        <w:widowControl/>
        <w:numPr>
          <w:ilvl w:val="0"/>
          <w:numId w:val="3"/>
        </w:numPr>
        <w:kinsoku/>
        <w:wordWrap w:val="0"/>
        <w:overflowPunct/>
        <w:topLinePunct w:val="0"/>
        <w:autoSpaceDE/>
        <w:autoSpaceDN/>
        <w:bidi w:val="0"/>
        <w:adjustRightInd/>
        <w:snapToGrid/>
        <w:spacing w:beforeAutospacing="0" w:afterAutospacing="0" w:line="240" w:lineRule="auto"/>
        <w:ind w:firstLine="640" w:firstLineChars="200"/>
        <w:jc w:val="both"/>
        <w:textAlignment w:val="auto"/>
        <w:rPr>
          <w:rFonts w:hint="default" w:ascii="Times New Roman" w:hAnsi="Times New Roman" w:eastAsia="仿宋_GB2312" w:cs="Times New Roman"/>
          <w:kern w:val="0"/>
          <w:sz w:val="32"/>
          <w:szCs w:val="32"/>
          <w:lang w:eastAsia="zh-CN"/>
        </w:rPr>
      </w:pPr>
      <w:r>
        <w:rPr>
          <w:rFonts w:hint="default" w:ascii="Times New Roman" w:hAnsi="Times New Roman" w:eastAsia="仿宋_GB2312" w:cs="Times New Roman"/>
          <w:kern w:val="0"/>
          <w:sz w:val="32"/>
          <w:szCs w:val="32"/>
          <w:lang w:eastAsia="zh-CN"/>
        </w:rPr>
        <w:t>加强环境设施维护与管理，</w:t>
      </w:r>
      <w:r>
        <w:rPr>
          <w:rFonts w:hint="default" w:ascii="Times New Roman" w:hAnsi="Times New Roman" w:eastAsia="仿宋_GB2312" w:cs="Times New Roman"/>
          <w:kern w:val="0"/>
          <w:sz w:val="32"/>
          <w:szCs w:val="32"/>
        </w:rPr>
        <w:t>确保污染物长期稳定达标排放</w:t>
      </w:r>
      <w:r>
        <w:rPr>
          <w:rFonts w:hint="default" w:ascii="Times New Roman" w:hAnsi="Times New Roman" w:eastAsia="仿宋_GB2312" w:cs="Times New Roman"/>
          <w:kern w:val="0"/>
          <w:sz w:val="32"/>
          <w:szCs w:val="32"/>
          <w:lang w:eastAsia="zh-CN"/>
        </w:rPr>
        <w:t>；</w:t>
      </w:r>
    </w:p>
    <w:p w14:paraId="1159544B">
      <w:pPr>
        <w:keepNext w:val="0"/>
        <w:keepLines w:val="0"/>
        <w:pageBreakBefore w:val="0"/>
        <w:widowControl/>
        <w:numPr>
          <w:ilvl w:val="0"/>
          <w:numId w:val="3"/>
        </w:numPr>
        <w:kinsoku/>
        <w:wordWrap w:val="0"/>
        <w:overflowPunct/>
        <w:topLinePunct w:val="0"/>
        <w:autoSpaceDE/>
        <w:autoSpaceDN/>
        <w:bidi w:val="0"/>
        <w:adjustRightInd/>
        <w:snapToGrid/>
        <w:spacing w:beforeAutospacing="0" w:afterAutospacing="0" w:line="240" w:lineRule="auto"/>
        <w:ind w:firstLine="640" w:firstLineChars="200"/>
        <w:jc w:val="both"/>
        <w:textAlignment w:val="auto"/>
        <w:rPr>
          <w:rFonts w:hint="default" w:ascii="Times New Roman" w:hAnsi="Times New Roman" w:eastAsia="仿宋_GB2312" w:cs="Times New Roman"/>
          <w:kern w:val="0"/>
          <w:sz w:val="32"/>
          <w:szCs w:val="32"/>
          <w:lang w:eastAsia="zh-CN"/>
        </w:rPr>
      </w:pPr>
      <w:r>
        <w:rPr>
          <w:rFonts w:hint="default" w:ascii="Times New Roman" w:hAnsi="Times New Roman" w:eastAsia="仿宋_GB2312" w:cs="Times New Roman"/>
          <w:kern w:val="0"/>
          <w:sz w:val="32"/>
          <w:szCs w:val="32"/>
        </w:rPr>
        <w:t>进一步完善环境风险应急预案，</w:t>
      </w:r>
      <w:r>
        <w:rPr>
          <w:rFonts w:hint="default" w:ascii="Times New Roman" w:hAnsi="Times New Roman" w:eastAsia="仿宋_GB2312" w:cs="Times New Roman"/>
          <w:kern w:val="0"/>
          <w:sz w:val="32"/>
          <w:szCs w:val="32"/>
          <w:lang w:eastAsia="zh-CN"/>
        </w:rPr>
        <w:t>做好应急物资储备，</w:t>
      </w:r>
      <w:r>
        <w:rPr>
          <w:rFonts w:hint="default" w:ascii="Times New Roman" w:hAnsi="Times New Roman" w:eastAsia="仿宋_GB2312" w:cs="Times New Roman"/>
          <w:kern w:val="0"/>
          <w:sz w:val="32"/>
          <w:szCs w:val="32"/>
        </w:rPr>
        <w:t>定期进行应急演练，提高突发环境事件应急处置能力</w:t>
      </w:r>
      <w:r>
        <w:rPr>
          <w:rFonts w:hint="default" w:ascii="Times New Roman" w:hAnsi="Times New Roman" w:eastAsia="仿宋_GB2312" w:cs="Times New Roman"/>
          <w:kern w:val="0"/>
          <w:sz w:val="32"/>
          <w:szCs w:val="32"/>
          <w:lang w:eastAsia="zh-CN"/>
        </w:rPr>
        <w:t>；</w:t>
      </w:r>
    </w:p>
    <w:p w14:paraId="7B21D412">
      <w:pPr>
        <w:keepNext w:val="0"/>
        <w:keepLines w:val="0"/>
        <w:pageBreakBefore w:val="0"/>
        <w:widowControl/>
        <w:numPr>
          <w:ilvl w:val="0"/>
          <w:numId w:val="3"/>
        </w:numPr>
        <w:kinsoku/>
        <w:wordWrap w:val="0"/>
        <w:overflowPunct/>
        <w:topLinePunct w:val="0"/>
        <w:autoSpaceDE/>
        <w:autoSpaceDN/>
        <w:bidi w:val="0"/>
        <w:adjustRightInd/>
        <w:snapToGrid/>
        <w:spacing w:beforeAutospacing="0" w:afterAutospacing="0" w:line="240" w:lineRule="auto"/>
        <w:ind w:firstLine="640" w:firstLineChars="200"/>
        <w:jc w:val="both"/>
        <w:textAlignment w:val="auto"/>
        <w:rPr>
          <w:rFonts w:hint="default" w:ascii="Times New Roman" w:hAnsi="Times New Roman" w:eastAsia="仿宋_GB2312" w:cs="Times New Roman"/>
          <w:kern w:val="0"/>
          <w:sz w:val="32"/>
          <w:szCs w:val="32"/>
          <w:lang w:eastAsia="zh-CN"/>
        </w:rPr>
      </w:pPr>
      <w:r>
        <w:rPr>
          <w:rFonts w:hint="default" w:ascii="Times New Roman" w:hAnsi="Times New Roman" w:eastAsia="仿宋_GB2312" w:cs="Times New Roman"/>
          <w:kern w:val="0"/>
          <w:sz w:val="32"/>
          <w:szCs w:val="32"/>
        </w:rPr>
        <w:t>编制自行监测方案，做好跟踪监测工作</w:t>
      </w:r>
      <w:r>
        <w:rPr>
          <w:rFonts w:hint="default" w:ascii="Times New Roman" w:hAnsi="Times New Roman" w:eastAsia="仿宋_GB2312" w:cs="Times New Roman"/>
          <w:kern w:val="0"/>
          <w:sz w:val="32"/>
          <w:szCs w:val="32"/>
          <w:lang w:eastAsia="zh-CN"/>
        </w:rPr>
        <w:t>；</w:t>
      </w:r>
    </w:p>
    <w:p w14:paraId="50A96296">
      <w:pPr>
        <w:keepNext w:val="0"/>
        <w:keepLines w:val="0"/>
        <w:pageBreakBefore w:val="0"/>
        <w:widowControl/>
        <w:numPr>
          <w:ilvl w:val="0"/>
          <w:numId w:val="3"/>
        </w:numPr>
        <w:kinsoku/>
        <w:wordWrap w:val="0"/>
        <w:overflowPunct/>
        <w:topLinePunct w:val="0"/>
        <w:autoSpaceDE/>
        <w:autoSpaceDN/>
        <w:bidi w:val="0"/>
        <w:adjustRightInd/>
        <w:snapToGrid/>
        <w:spacing w:beforeAutospacing="0" w:afterAutospacing="0" w:line="240" w:lineRule="auto"/>
        <w:ind w:firstLine="640" w:firstLineChars="200"/>
        <w:jc w:val="both"/>
        <w:textAlignment w:val="auto"/>
        <w:rPr>
          <w:rFonts w:hint="default" w:ascii="Times New Roman" w:hAnsi="Times New Roman" w:eastAsia="仿宋_GB2312" w:cs="Times New Roman"/>
          <w:kern w:val="0"/>
          <w:sz w:val="32"/>
          <w:szCs w:val="32"/>
          <w:lang w:eastAsia="zh-CN"/>
        </w:rPr>
      </w:pPr>
      <w:r>
        <w:rPr>
          <w:rFonts w:hint="default" w:ascii="Times New Roman" w:hAnsi="Times New Roman" w:eastAsia="仿宋_GB2312" w:cs="Times New Roman"/>
          <w:kern w:val="0"/>
          <w:sz w:val="32"/>
          <w:szCs w:val="32"/>
          <w:lang w:eastAsia="zh-CN"/>
        </w:rPr>
        <w:t>按证依法排污，</w:t>
      </w:r>
      <w:r>
        <w:rPr>
          <w:rFonts w:hint="default" w:ascii="Times New Roman" w:hAnsi="Times New Roman" w:eastAsia="仿宋_GB2312" w:cs="Times New Roman"/>
          <w:kern w:val="0"/>
          <w:sz w:val="32"/>
          <w:szCs w:val="32"/>
        </w:rPr>
        <w:t>接受环境保护主管部门的监督管理</w:t>
      </w:r>
      <w:r>
        <w:rPr>
          <w:rFonts w:hint="default" w:ascii="Times New Roman" w:hAnsi="Times New Roman" w:eastAsia="仿宋_GB2312" w:cs="Times New Roman"/>
          <w:kern w:val="0"/>
          <w:sz w:val="32"/>
          <w:szCs w:val="32"/>
          <w:lang w:eastAsia="zh-CN"/>
        </w:rPr>
        <w:t>等方面内容）</w:t>
      </w:r>
    </w:p>
    <w:p w14:paraId="5D5FDA72">
      <w:pPr>
        <w:pStyle w:val="2"/>
        <w:keepLines w:val="0"/>
        <w:pageBreakBefore w:val="0"/>
        <w:kinsoku/>
        <w:overflowPunct/>
        <w:topLinePunct w:val="0"/>
        <w:autoSpaceDE/>
        <w:autoSpaceDN/>
        <w:bidi w:val="0"/>
        <w:adjustRightInd/>
        <w:snapToGrid/>
        <w:spacing w:beforeAutospacing="0" w:afterAutospacing="0" w:line="360" w:lineRule="auto"/>
        <w:ind w:firstLine="358" w:firstLineChars="200"/>
        <w:jc w:val="both"/>
        <w:textAlignment w:val="auto"/>
        <w:rPr>
          <w:rFonts w:hint="default" w:ascii="Times New Roman" w:hAnsi="Times New Roman" w:cs="Times New Roman"/>
        </w:rPr>
      </w:pPr>
    </w:p>
    <w:p w14:paraId="0820C898">
      <w:pPr>
        <w:keepLines w:val="0"/>
        <w:pageBreakBefore w:val="0"/>
        <w:widowControl/>
        <w:kinsoku/>
        <w:wordWrap w:val="0"/>
        <w:overflowPunct/>
        <w:topLinePunct w:val="0"/>
        <w:autoSpaceDE/>
        <w:autoSpaceDN/>
        <w:bidi w:val="0"/>
        <w:adjustRightInd/>
        <w:snapToGrid/>
        <w:spacing w:beforeAutospacing="0" w:afterAutospacing="0" w:line="360" w:lineRule="auto"/>
        <w:ind w:firstLine="640" w:firstLineChars="200"/>
        <w:jc w:val="both"/>
        <w:textAlignment w:val="auto"/>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kern w:val="0"/>
          <w:sz w:val="32"/>
          <w:szCs w:val="32"/>
        </w:rPr>
        <w:t>附：建设项目竣工环境保护验收签名表</w:t>
      </w:r>
    </w:p>
    <w:p w14:paraId="19C86831">
      <w:pPr>
        <w:pStyle w:val="2"/>
        <w:keepLines w:val="0"/>
        <w:pageBreakBefore w:val="0"/>
        <w:kinsoku/>
        <w:overflowPunct/>
        <w:topLinePunct w:val="0"/>
        <w:autoSpaceDE/>
        <w:autoSpaceDN/>
        <w:bidi w:val="0"/>
        <w:adjustRightInd/>
        <w:snapToGrid/>
        <w:spacing w:beforeAutospacing="0" w:afterAutospacing="0" w:line="360" w:lineRule="auto"/>
        <w:ind w:firstLine="358" w:firstLineChars="200"/>
        <w:jc w:val="both"/>
        <w:textAlignment w:val="auto"/>
        <w:rPr>
          <w:rFonts w:hint="default" w:ascii="Times New Roman" w:hAnsi="Times New Roman" w:cs="Times New Roman"/>
        </w:rPr>
      </w:pPr>
    </w:p>
    <w:p w14:paraId="7D42E3FE">
      <w:pPr>
        <w:widowControl/>
        <w:spacing w:before="100" w:beforeAutospacing="1" w:after="100" w:afterAutospacing="1"/>
        <w:ind w:right="640"/>
        <w:jc w:val="righ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茂名市茂南中科云粤西产业园管理中心（章）</w:t>
      </w:r>
    </w:p>
    <w:p w14:paraId="0548EFE7">
      <w:pPr>
        <w:widowControl/>
        <w:wordWrap w:val="0"/>
        <w:spacing w:before="100" w:beforeAutospacing="1" w:after="100" w:afterAutospacing="1"/>
        <w:ind w:right="640"/>
        <w:jc w:val="center"/>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 xml:space="preserve">                            </w:t>
      </w:r>
      <w:r>
        <w:rPr>
          <w:rFonts w:hint="default" w:ascii="Times New Roman" w:hAnsi="Times New Roman" w:eastAsia="仿宋_GB2312" w:cs="Times New Roman"/>
          <w:kern w:val="0"/>
          <w:sz w:val="32"/>
          <w:szCs w:val="32"/>
          <w:lang w:val="en-US" w:eastAsia="zh-CN"/>
        </w:rPr>
        <w:t>2026</w:t>
      </w:r>
      <w:r>
        <w:rPr>
          <w:rFonts w:hint="default" w:ascii="Times New Roman" w:hAnsi="Times New Roman" w:eastAsia="仿宋_GB2312" w:cs="Times New Roman"/>
          <w:kern w:val="0"/>
          <w:sz w:val="32"/>
          <w:szCs w:val="32"/>
        </w:rPr>
        <w:t>年</w:t>
      </w:r>
      <w:r>
        <w:rPr>
          <w:rFonts w:hint="default" w:ascii="Times New Roman" w:hAnsi="Times New Roman" w:eastAsia="仿宋_GB2312" w:cs="Times New Roman"/>
          <w:kern w:val="0"/>
          <w:sz w:val="32"/>
          <w:szCs w:val="32"/>
          <w:lang w:val="en-US" w:eastAsia="zh-CN"/>
        </w:rPr>
        <w:t>8</w:t>
      </w:r>
      <w:r>
        <w:rPr>
          <w:rFonts w:hint="default" w:ascii="Times New Roman" w:hAnsi="Times New Roman" w:eastAsia="仿宋_GB2312" w:cs="Times New Roman"/>
          <w:kern w:val="0"/>
          <w:sz w:val="32"/>
          <w:szCs w:val="32"/>
        </w:rPr>
        <w:t>月</w:t>
      </w:r>
      <w:r>
        <w:rPr>
          <w:rFonts w:hint="default" w:ascii="Times New Roman" w:hAnsi="Times New Roman" w:eastAsia="仿宋_GB2312" w:cs="Times New Roman"/>
          <w:kern w:val="0"/>
          <w:sz w:val="32"/>
          <w:szCs w:val="32"/>
          <w:lang w:val="en-US" w:eastAsia="zh-CN"/>
        </w:rPr>
        <w:t>25</w:t>
      </w:r>
      <w:r>
        <w:rPr>
          <w:rFonts w:hint="default" w:ascii="Times New Roman" w:hAnsi="Times New Roman" w:eastAsia="仿宋_GB2312" w:cs="Times New Roman"/>
          <w:kern w:val="0"/>
          <w:sz w:val="32"/>
          <w:szCs w:val="32"/>
        </w:rPr>
        <w:t>日</w:t>
      </w:r>
    </w:p>
    <w:p w14:paraId="7DD235C3">
      <w:pPr>
        <w:widowControl/>
        <w:wordWrap w:val="0"/>
        <w:spacing w:before="100" w:beforeAutospacing="1" w:after="100" w:afterAutospacing="1"/>
        <w:jc w:val="left"/>
        <w:rPr>
          <w:rFonts w:hint="default" w:ascii="Times New Roman" w:hAnsi="Times New Roman" w:eastAsia="仿宋_GB2312" w:cs="Times New Roman"/>
          <w:kern w:val="0"/>
          <w:sz w:val="32"/>
          <w:szCs w:val="32"/>
        </w:rPr>
        <w:sectPr>
          <w:footerReference r:id="rId3" w:type="default"/>
          <w:pgSz w:w="11906" w:h="16838"/>
          <w:pgMar w:top="1440" w:right="1800" w:bottom="1440" w:left="1800" w:header="851" w:footer="992" w:gutter="0"/>
          <w:pgNumType w:fmt="decimal"/>
          <w:cols w:space="425" w:num="1"/>
          <w:docGrid w:type="lines" w:linePitch="312" w:charSpace="0"/>
        </w:sectPr>
      </w:pPr>
    </w:p>
    <w:p w14:paraId="6760AFAA">
      <w:pPr>
        <w:pStyle w:val="9"/>
        <w:keepNext w:val="0"/>
        <w:keepLines w:val="0"/>
        <w:pageBreakBefore w:val="0"/>
        <w:widowControl/>
        <w:kinsoku w:val="0"/>
        <w:wordWrap/>
        <w:overflowPunct/>
        <w:topLinePunct w:val="0"/>
        <w:autoSpaceDE w:val="0"/>
        <w:autoSpaceDN w:val="0"/>
        <w:bidi w:val="0"/>
        <w:adjustRightInd w:val="0"/>
        <w:snapToGrid w:val="0"/>
        <w:spacing w:before="120" w:line="240" w:lineRule="auto"/>
        <w:ind w:left="0" w:right="0" w:firstLine="0"/>
        <w:jc w:val="center"/>
        <w:textAlignment w:val="baseline"/>
        <w:rPr>
          <w:rFonts w:hint="eastAsia"/>
          <w:b/>
          <w:bCs/>
          <w:spacing w:val="7"/>
          <w:sz w:val="37"/>
          <w:szCs w:val="37"/>
          <w:lang w:val="zh-CN" w:eastAsia="zh-CN"/>
        </w:rPr>
      </w:pPr>
      <w:bookmarkStart w:id="1" w:name="_GoBack"/>
      <w:r>
        <w:rPr>
          <w:rFonts w:hint="eastAsia" w:ascii="宋体" w:hAnsi="宋体" w:eastAsia="宋体" w:cs="宋体"/>
          <w:spacing w:val="-2"/>
          <w:sz w:val="24"/>
          <w:szCs w:val="24"/>
          <w:lang w:val="en-US" w:eastAsia="zh-CN"/>
        </w:rPr>
        <w:drawing>
          <wp:anchor distT="0" distB="0" distL="114300" distR="114300" simplePos="0" relativeHeight="251659264" behindDoc="0" locked="0" layoutInCell="1" allowOverlap="1">
            <wp:simplePos x="0" y="0"/>
            <wp:positionH relativeFrom="column">
              <wp:posOffset>643255</wp:posOffset>
            </wp:positionH>
            <wp:positionV relativeFrom="paragraph">
              <wp:posOffset>-2137410</wp:posOffset>
            </wp:positionV>
            <wp:extent cx="7555230" cy="10481310"/>
            <wp:effectExtent l="0" t="0" r="15240" b="7620"/>
            <wp:wrapNone/>
            <wp:docPr id="2" name="图片 2" descr="85465875875a135f7d265d2cf00a7a7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85465875875a135f7d265d2cf00a7a7c"/>
                    <pic:cNvPicPr>
                      <a:picLocks noChangeAspect="1"/>
                    </pic:cNvPicPr>
                  </pic:nvPicPr>
                  <pic:blipFill>
                    <a:blip r:embed="rId5"/>
                    <a:stretch>
                      <a:fillRect/>
                    </a:stretch>
                  </pic:blipFill>
                  <pic:spPr>
                    <a:xfrm rot="16200000">
                      <a:off x="0" y="0"/>
                      <a:ext cx="7555230" cy="10481310"/>
                    </a:xfrm>
                    <a:prstGeom prst="rect">
                      <a:avLst/>
                    </a:prstGeom>
                  </pic:spPr>
                </pic:pic>
              </a:graphicData>
            </a:graphic>
          </wp:anchor>
        </w:drawing>
      </w:r>
      <w:bookmarkEnd w:id="1"/>
      <w:r>
        <w:rPr>
          <w:rFonts w:hint="eastAsia"/>
          <w:b/>
          <w:bCs/>
          <w:spacing w:val="7"/>
          <w:sz w:val="37"/>
          <w:szCs w:val="37"/>
          <w:lang w:val="zh-CN" w:eastAsia="zh-CN"/>
        </w:rPr>
        <w:t>茂南区南方国际汽车产业园基础设施建设项目(水质净化厂一期工程)第一阶段</w:t>
      </w:r>
    </w:p>
    <w:p w14:paraId="377BBE75">
      <w:pPr>
        <w:pStyle w:val="9"/>
        <w:keepNext w:val="0"/>
        <w:keepLines w:val="0"/>
        <w:pageBreakBefore w:val="0"/>
        <w:widowControl/>
        <w:kinsoku w:val="0"/>
        <w:wordWrap/>
        <w:overflowPunct/>
        <w:topLinePunct w:val="0"/>
        <w:autoSpaceDE w:val="0"/>
        <w:autoSpaceDN w:val="0"/>
        <w:bidi w:val="0"/>
        <w:adjustRightInd w:val="0"/>
        <w:snapToGrid w:val="0"/>
        <w:spacing w:before="120" w:line="240" w:lineRule="auto"/>
        <w:ind w:left="0" w:right="0" w:firstLine="0"/>
        <w:jc w:val="center"/>
        <w:textAlignment w:val="baseline"/>
        <w:rPr>
          <w:b/>
          <w:bCs/>
          <w:spacing w:val="7"/>
          <w:sz w:val="37"/>
          <w:szCs w:val="37"/>
        </w:rPr>
      </w:pPr>
      <w:r>
        <w:rPr>
          <w:b/>
          <w:bCs/>
          <w:spacing w:val="7"/>
          <w:sz w:val="37"/>
          <w:szCs w:val="37"/>
        </w:rPr>
        <w:t>竣工环境保护验收签名表</w:t>
      </w:r>
    </w:p>
    <w:p w14:paraId="241A24E0">
      <w:pPr>
        <w:pStyle w:val="9"/>
        <w:keepNext w:val="0"/>
        <w:keepLines w:val="0"/>
        <w:pageBreakBefore w:val="0"/>
        <w:widowControl/>
        <w:kinsoku w:val="0"/>
        <w:wordWrap/>
        <w:overflowPunct/>
        <w:topLinePunct w:val="0"/>
        <w:autoSpaceDE w:val="0"/>
        <w:autoSpaceDN w:val="0"/>
        <w:bidi w:val="0"/>
        <w:adjustRightInd w:val="0"/>
        <w:snapToGrid w:val="0"/>
        <w:spacing w:before="120" w:line="240" w:lineRule="auto"/>
        <w:ind w:left="0" w:right="0" w:firstLine="0"/>
        <w:jc w:val="right"/>
        <w:textAlignment w:val="baseline"/>
        <w:rPr>
          <w:rFonts w:hint="default" w:eastAsia="宋体"/>
          <w:b/>
          <w:bCs/>
          <w:spacing w:val="7"/>
          <w:sz w:val="37"/>
          <w:szCs w:val="37"/>
          <w:lang w:val="en-US" w:eastAsia="zh-CN"/>
        </w:rPr>
      </w:pPr>
      <w:r>
        <w:rPr>
          <w:rFonts w:hint="eastAsia"/>
          <w:b/>
          <w:bCs/>
          <w:spacing w:val="7"/>
          <w:sz w:val="36"/>
          <w:szCs w:val="36"/>
          <w:lang w:val="en-US" w:eastAsia="zh-CN"/>
        </w:rPr>
        <w:t>日期：2026年08月25日</w:t>
      </w:r>
    </w:p>
    <w:tbl>
      <w:tblPr>
        <w:tblStyle w:val="29"/>
        <w:tblpPr w:leftFromText="180" w:rightFromText="180" w:vertAnchor="text" w:horzAnchor="page" w:tblpXSpec="center" w:tblpY="109"/>
        <w:tblOverlap w:val="never"/>
        <w:tblW w:w="5025"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46"/>
        <w:gridCol w:w="1253"/>
        <w:gridCol w:w="1115"/>
        <w:gridCol w:w="2990"/>
        <w:gridCol w:w="1399"/>
        <w:gridCol w:w="1517"/>
        <w:gridCol w:w="2256"/>
        <w:gridCol w:w="1574"/>
        <w:gridCol w:w="1288"/>
      </w:tblGrid>
      <w:tr w14:paraId="03540C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exact"/>
          <w:jc w:val="center"/>
        </w:trPr>
        <w:tc>
          <w:tcPr>
            <w:tcW w:w="230" w:type="pct"/>
            <w:noWrap w:val="0"/>
            <w:vAlign w:val="center"/>
          </w:tcPr>
          <w:p w14:paraId="54E7454B">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b/>
                <w:bCs/>
                <w:sz w:val="24"/>
                <w:szCs w:val="24"/>
              </w:rPr>
            </w:pPr>
            <w:r>
              <w:rPr>
                <w:b/>
                <w:bCs/>
                <w:spacing w:val="-2"/>
                <w:sz w:val="24"/>
                <w:szCs w:val="24"/>
              </w:rPr>
              <w:t>序号</w:t>
            </w:r>
          </w:p>
        </w:tc>
        <w:tc>
          <w:tcPr>
            <w:tcW w:w="446" w:type="pct"/>
            <w:noWrap w:val="0"/>
            <w:vAlign w:val="center"/>
          </w:tcPr>
          <w:p w14:paraId="51D73123">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eastAsia="宋体"/>
                <w:b/>
                <w:bCs/>
                <w:spacing w:val="12"/>
                <w:sz w:val="24"/>
                <w:szCs w:val="24"/>
                <w:lang w:val="en-US" w:eastAsia="zh-CN"/>
              </w:rPr>
            </w:pPr>
            <w:r>
              <w:rPr>
                <w:rFonts w:hint="eastAsia"/>
                <w:b/>
                <w:bCs/>
                <w:spacing w:val="12"/>
                <w:sz w:val="24"/>
                <w:szCs w:val="24"/>
                <w:lang w:val="en-US" w:eastAsia="zh-CN"/>
              </w:rPr>
              <w:t>验收组成</w:t>
            </w:r>
          </w:p>
        </w:tc>
        <w:tc>
          <w:tcPr>
            <w:tcW w:w="397" w:type="pct"/>
            <w:noWrap w:val="0"/>
            <w:vAlign w:val="center"/>
          </w:tcPr>
          <w:p w14:paraId="59C300DB">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b/>
                <w:bCs/>
                <w:sz w:val="24"/>
                <w:szCs w:val="24"/>
              </w:rPr>
            </w:pPr>
            <w:r>
              <w:rPr>
                <w:b/>
                <w:bCs/>
                <w:spacing w:val="12"/>
                <w:sz w:val="24"/>
                <w:szCs w:val="24"/>
              </w:rPr>
              <w:t>姓名</w:t>
            </w:r>
          </w:p>
        </w:tc>
        <w:tc>
          <w:tcPr>
            <w:tcW w:w="1064" w:type="pct"/>
            <w:noWrap w:val="0"/>
            <w:vAlign w:val="center"/>
          </w:tcPr>
          <w:p w14:paraId="2817FCC8">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b/>
                <w:bCs/>
                <w:sz w:val="24"/>
                <w:szCs w:val="24"/>
              </w:rPr>
            </w:pPr>
            <w:r>
              <w:rPr>
                <w:b/>
                <w:bCs/>
                <w:spacing w:val="-2"/>
                <w:sz w:val="24"/>
                <w:szCs w:val="24"/>
              </w:rPr>
              <w:t>工作单位</w:t>
            </w:r>
          </w:p>
        </w:tc>
        <w:tc>
          <w:tcPr>
            <w:tcW w:w="498" w:type="pct"/>
            <w:noWrap w:val="0"/>
            <w:vAlign w:val="center"/>
          </w:tcPr>
          <w:p w14:paraId="33EB587B">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eastAsia="宋体"/>
                <w:b/>
                <w:bCs/>
                <w:spacing w:val="3"/>
                <w:sz w:val="24"/>
                <w:szCs w:val="24"/>
                <w:lang w:val="en-US" w:eastAsia="zh-CN"/>
              </w:rPr>
            </w:pPr>
            <w:r>
              <w:rPr>
                <w:rFonts w:hint="eastAsia"/>
                <w:b/>
                <w:bCs/>
                <w:spacing w:val="3"/>
                <w:sz w:val="24"/>
                <w:szCs w:val="24"/>
                <w:lang w:val="en-US" w:eastAsia="zh-CN"/>
              </w:rPr>
              <w:t>职务/职称</w:t>
            </w:r>
          </w:p>
        </w:tc>
        <w:tc>
          <w:tcPr>
            <w:tcW w:w="540" w:type="pct"/>
            <w:noWrap w:val="0"/>
            <w:vAlign w:val="center"/>
          </w:tcPr>
          <w:p w14:paraId="137810F9">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b/>
                <w:bCs/>
                <w:sz w:val="24"/>
                <w:szCs w:val="24"/>
              </w:rPr>
            </w:pPr>
            <w:r>
              <w:rPr>
                <w:b/>
                <w:bCs/>
                <w:spacing w:val="3"/>
                <w:sz w:val="24"/>
                <w:szCs w:val="24"/>
              </w:rPr>
              <w:t>电话</w:t>
            </w:r>
          </w:p>
        </w:tc>
        <w:tc>
          <w:tcPr>
            <w:tcW w:w="803" w:type="pct"/>
            <w:noWrap w:val="0"/>
            <w:vAlign w:val="center"/>
          </w:tcPr>
          <w:p w14:paraId="5F5A9A9E">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b/>
                <w:bCs/>
                <w:sz w:val="24"/>
                <w:szCs w:val="24"/>
              </w:rPr>
            </w:pPr>
            <w:r>
              <w:rPr>
                <w:b/>
                <w:bCs/>
                <w:spacing w:val="2"/>
                <w:sz w:val="24"/>
                <w:szCs w:val="24"/>
              </w:rPr>
              <w:t>身份证号码</w:t>
            </w:r>
          </w:p>
        </w:tc>
        <w:tc>
          <w:tcPr>
            <w:tcW w:w="560" w:type="pct"/>
            <w:noWrap w:val="0"/>
            <w:vAlign w:val="center"/>
          </w:tcPr>
          <w:p w14:paraId="26D534BB">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b/>
                <w:bCs/>
                <w:sz w:val="24"/>
                <w:szCs w:val="24"/>
              </w:rPr>
            </w:pPr>
            <w:r>
              <w:rPr>
                <w:b/>
                <w:bCs/>
                <w:spacing w:val="-2"/>
                <w:sz w:val="24"/>
                <w:szCs w:val="24"/>
              </w:rPr>
              <w:t>是否同意通过</w:t>
            </w:r>
          </w:p>
        </w:tc>
        <w:tc>
          <w:tcPr>
            <w:tcW w:w="458" w:type="pct"/>
            <w:noWrap w:val="0"/>
            <w:vAlign w:val="center"/>
          </w:tcPr>
          <w:p w14:paraId="62A83D28">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b/>
                <w:bCs/>
                <w:sz w:val="24"/>
                <w:szCs w:val="24"/>
              </w:rPr>
            </w:pPr>
            <w:r>
              <w:rPr>
                <w:b/>
                <w:bCs/>
                <w:spacing w:val="-2"/>
                <w:sz w:val="24"/>
                <w:szCs w:val="24"/>
              </w:rPr>
              <w:t>签名确认</w:t>
            </w:r>
          </w:p>
        </w:tc>
      </w:tr>
      <w:tr w14:paraId="65198D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exact"/>
          <w:jc w:val="center"/>
        </w:trPr>
        <w:tc>
          <w:tcPr>
            <w:tcW w:w="230" w:type="pct"/>
            <w:noWrap w:val="0"/>
            <w:vAlign w:val="center"/>
          </w:tcPr>
          <w:p w14:paraId="218C075E">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4"/>
                <w:szCs w:val="24"/>
              </w:rPr>
            </w:pPr>
            <w:r>
              <w:rPr>
                <w:sz w:val="24"/>
                <w:szCs w:val="24"/>
              </w:rPr>
              <w:t>1</w:t>
            </w:r>
          </w:p>
        </w:tc>
        <w:tc>
          <w:tcPr>
            <w:tcW w:w="446" w:type="pct"/>
            <w:vMerge w:val="restart"/>
            <w:noWrap w:val="0"/>
            <w:vAlign w:val="center"/>
          </w:tcPr>
          <w:p w14:paraId="4921EF86">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eastAsia="宋体"/>
                <w:spacing w:val="-5"/>
                <w:sz w:val="24"/>
                <w:szCs w:val="24"/>
                <w:lang w:val="en-US" w:eastAsia="zh-CN"/>
              </w:rPr>
            </w:pPr>
            <w:r>
              <w:rPr>
                <w:rFonts w:hint="eastAsia"/>
                <w:spacing w:val="-5"/>
                <w:sz w:val="24"/>
                <w:szCs w:val="24"/>
                <w:lang w:val="en-US" w:eastAsia="zh-CN"/>
              </w:rPr>
              <w:t>专家</w:t>
            </w:r>
          </w:p>
        </w:tc>
        <w:tc>
          <w:tcPr>
            <w:tcW w:w="397" w:type="pct"/>
            <w:noWrap w:val="0"/>
            <w:vAlign w:val="center"/>
          </w:tcPr>
          <w:p w14:paraId="2A226A31">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杜  诚</w:t>
            </w:r>
          </w:p>
        </w:tc>
        <w:tc>
          <w:tcPr>
            <w:tcW w:w="1064" w:type="pct"/>
            <w:noWrap w:val="0"/>
            <w:vAlign w:val="center"/>
          </w:tcPr>
          <w:p w14:paraId="72E335B0">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广东石油化工学院</w:t>
            </w:r>
          </w:p>
        </w:tc>
        <w:tc>
          <w:tcPr>
            <w:tcW w:w="498" w:type="pct"/>
            <w:noWrap w:val="0"/>
            <w:vAlign w:val="center"/>
          </w:tcPr>
          <w:p w14:paraId="0BFA8F64">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高级工程师</w:t>
            </w:r>
          </w:p>
        </w:tc>
        <w:tc>
          <w:tcPr>
            <w:tcW w:w="540" w:type="pct"/>
            <w:noWrap w:val="0"/>
            <w:vAlign w:val="center"/>
          </w:tcPr>
          <w:p w14:paraId="305DB09D">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13929710045</w:t>
            </w:r>
          </w:p>
        </w:tc>
        <w:tc>
          <w:tcPr>
            <w:tcW w:w="803" w:type="pct"/>
            <w:noWrap w:val="0"/>
            <w:vAlign w:val="center"/>
          </w:tcPr>
          <w:p w14:paraId="4EF10894">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440811197806160051</w:t>
            </w:r>
          </w:p>
        </w:tc>
        <w:tc>
          <w:tcPr>
            <w:tcW w:w="560" w:type="pct"/>
            <w:noWrap w:val="0"/>
            <w:vAlign w:val="center"/>
          </w:tcPr>
          <w:p w14:paraId="6B1D20AE">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2"/>
                <w:sz w:val="24"/>
                <w:szCs w:val="24"/>
                <w:lang w:val="en-US" w:eastAsia="zh-CN"/>
              </w:rPr>
            </w:pPr>
          </w:p>
        </w:tc>
        <w:tc>
          <w:tcPr>
            <w:tcW w:w="458" w:type="pct"/>
            <w:noWrap w:val="0"/>
            <w:vAlign w:val="center"/>
          </w:tcPr>
          <w:p w14:paraId="35E0276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Arial"/>
                <w:sz w:val="24"/>
                <w:szCs w:val="24"/>
              </w:rPr>
            </w:pPr>
          </w:p>
        </w:tc>
      </w:tr>
      <w:tr w14:paraId="65D882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exact"/>
          <w:jc w:val="center"/>
        </w:trPr>
        <w:tc>
          <w:tcPr>
            <w:tcW w:w="230" w:type="pct"/>
            <w:noWrap w:val="0"/>
            <w:vAlign w:val="center"/>
          </w:tcPr>
          <w:p w14:paraId="1F638A17">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4"/>
                <w:szCs w:val="24"/>
              </w:rPr>
            </w:pPr>
            <w:r>
              <w:rPr>
                <w:sz w:val="24"/>
                <w:szCs w:val="24"/>
              </w:rPr>
              <w:t>2</w:t>
            </w:r>
          </w:p>
        </w:tc>
        <w:tc>
          <w:tcPr>
            <w:tcW w:w="446" w:type="pct"/>
            <w:vMerge w:val="continue"/>
            <w:noWrap w:val="0"/>
            <w:vAlign w:val="center"/>
          </w:tcPr>
          <w:p w14:paraId="5BC28D74">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2"/>
                <w:sz w:val="24"/>
                <w:szCs w:val="24"/>
              </w:rPr>
            </w:pPr>
          </w:p>
        </w:tc>
        <w:tc>
          <w:tcPr>
            <w:tcW w:w="397" w:type="pct"/>
            <w:noWrap w:val="0"/>
            <w:vAlign w:val="center"/>
          </w:tcPr>
          <w:p w14:paraId="18ADD530">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宋体" w:hAnsi="宋体" w:eastAsia="宋体" w:cs="宋体"/>
                <w:spacing w:val="-2"/>
                <w:sz w:val="24"/>
                <w:szCs w:val="24"/>
                <w:lang w:val="en-US" w:eastAsia="zh-CN"/>
              </w:rPr>
            </w:pPr>
            <w:r>
              <w:rPr>
                <w:rFonts w:hint="eastAsia" w:cs="宋体"/>
                <w:spacing w:val="-2"/>
                <w:sz w:val="24"/>
                <w:szCs w:val="24"/>
                <w:lang w:val="en-US" w:eastAsia="zh-CN"/>
              </w:rPr>
              <w:t>苏海杰</w:t>
            </w:r>
          </w:p>
        </w:tc>
        <w:tc>
          <w:tcPr>
            <w:tcW w:w="1064" w:type="pct"/>
            <w:noWrap w:val="0"/>
            <w:vAlign w:val="center"/>
          </w:tcPr>
          <w:p w14:paraId="2792FA14">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2"/>
                <w:sz w:val="24"/>
                <w:szCs w:val="24"/>
                <w:lang w:val="en-US" w:eastAsia="en-US"/>
              </w:rPr>
            </w:pPr>
            <w:r>
              <w:rPr>
                <w:rFonts w:hint="eastAsia" w:ascii="宋体" w:hAnsi="宋体" w:eastAsia="宋体" w:cs="宋体"/>
                <w:spacing w:val="-2"/>
                <w:sz w:val="24"/>
                <w:szCs w:val="24"/>
                <w:lang w:val="en-US" w:eastAsia="zh-CN"/>
              </w:rPr>
              <w:t>茂名市环境技术中心</w:t>
            </w:r>
          </w:p>
        </w:tc>
        <w:tc>
          <w:tcPr>
            <w:tcW w:w="498" w:type="pct"/>
            <w:noWrap w:val="0"/>
            <w:vAlign w:val="center"/>
          </w:tcPr>
          <w:p w14:paraId="4DDCDD9E">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高级工程师</w:t>
            </w:r>
          </w:p>
        </w:tc>
        <w:tc>
          <w:tcPr>
            <w:tcW w:w="540" w:type="pct"/>
            <w:noWrap w:val="0"/>
            <w:vAlign w:val="center"/>
          </w:tcPr>
          <w:p w14:paraId="71B99995">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宋体" w:hAnsi="宋体" w:eastAsia="宋体" w:cs="宋体"/>
                <w:spacing w:val="-2"/>
                <w:sz w:val="24"/>
                <w:szCs w:val="24"/>
                <w:lang w:val="en-US" w:eastAsia="zh-CN"/>
              </w:rPr>
            </w:pPr>
            <w:r>
              <w:rPr>
                <w:rFonts w:hint="eastAsia" w:cs="宋体"/>
                <w:spacing w:val="-2"/>
                <w:sz w:val="24"/>
                <w:szCs w:val="24"/>
                <w:lang w:val="en-US" w:eastAsia="zh-CN"/>
              </w:rPr>
              <w:t>13702662955</w:t>
            </w:r>
          </w:p>
        </w:tc>
        <w:tc>
          <w:tcPr>
            <w:tcW w:w="803" w:type="pct"/>
            <w:noWrap w:val="0"/>
            <w:vAlign w:val="center"/>
          </w:tcPr>
          <w:p w14:paraId="16B5A39A">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2"/>
                <w:sz w:val="24"/>
                <w:szCs w:val="24"/>
                <w:lang w:val="en-US" w:eastAsia="en-US"/>
              </w:rPr>
            </w:pPr>
            <w:r>
              <w:rPr>
                <w:rFonts w:hint="eastAsia" w:ascii="宋体" w:hAnsi="宋体" w:eastAsia="宋体" w:cs="宋体"/>
                <w:spacing w:val="-2"/>
                <w:sz w:val="24"/>
                <w:szCs w:val="24"/>
                <w:lang w:val="en-US" w:eastAsia="en-US"/>
              </w:rPr>
              <w:t>440922196809280016</w:t>
            </w:r>
          </w:p>
        </w:tc>
        <w:tc>
          <w:tcPr>
            <w:tcW w:w="560" w:type="pct"/>
            <w:noWrap w:val="0"/>
            <w:vAlign w:val="center"/>
          </w:tcPr>
          <w:p w14:paraId="6AF41DC6">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2"/>
                <w:sz w:val="24"/>
                <w:szCs w:val="24"/>
                <w:lang w:val="en-US" w:eastAsia="zh-CN"/>
              </w:rPr>
            </w:pPr>
          </w:p>
        </w:tc>
        <w:tc>
          <w:tcPr>
            <w:tcW w:w="458" w:type="pct"/>
            <w:noWrap w:val="0"/>
            <w:vAlign w:val="center"/>
          </w:tcPr>
          <w:p w14:paraId="4E2CEBD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Arial"/>
                <w:sz w:val="24"/>
                <w:szCs w:val="24"/>
              </w:rPr>
            </w:pPr>
          </w:p>
        </w:tc>
      </w:tr>
      <w:tr w14:paraId="40E449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exact"/>
          <w:jc w:val="center"/>
        </w:trPr>
        <w:tc>
          <w:tcPr>
            <w:tcW w:w="230" w:type="pct"/>
            <w:noWrap w:val="0"/>
            <w:vAlign w:val="center"/>
          </w:tcPr>
          <w:p w14:paraId="175FA679">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4"/>
                <w:szCs w:val="24"/>
              </w:rPr>
            </w:pPr>
            <w:r>
              <w:rPr>
                <w:sz w:val="24"/>
                <w:szCs w:val="24"/>
              </w:rPr>
              <w:t>3</w:t>
            </w:r>
          </w:p>
        </w:tc>
        <w:tc>
          <w:tcPr>
            <w:tcW w:w="446" w:type="pct"/>
            <w:vMerge w:val="continue"/>
            <w:noWrap w:val="0"/>
            <w:vAlign w:val="center"/>
          </w:tcPr>
          <w:p w14:paraId="05E5DEDE">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4"/>
                <w:sz w:val="24"/>
                <w:szCs w:val="24"/>
              </w:rPr>
            </w:pPr>
          </w:p>
        </w:tc>
        <w:tc>
          <w:tcPr>
            <w:tcW w:w="397" w:type="pct"/>
            <w:noWrap w:val="0"/>
            <w:vAlign w:val="center"/>
          </w:tcPr>
          <w:p w14:paraId="3B318C1E">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柯日华</w:t>
            </w:r>
          </w:p>
        </w:tc>
        <w:tc>
          <w:tcPr>
            <w:tcW w:w="1064" w:type="pct"/>
            <w:noWrap w:val="0"/>
            <w:vAlign w:val="center"/>
          </w:tcPr>
          <w:p w14:paraId="11AD7E09">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2"/>
                <w:sz w:val="24"/>
                <w:szCs w:val="24"/>
                <w:lang w:val="en-US" w:eastAsia="en-US"/>
              </w:rPr>
            </w:pPr>
            <w:r>
              <w:rPr>
                <w:rFonts w:hint="eastAsia" w:ascii="宋体" w:hAnsi="宋体" w:eastAsia="宋体" w:cs="宋体"/>
                <w:spacing w:val="-2"/>
                <w:sz w:val="24"/>
                <w:szCs w:val="24"/>
                <w:lang w:val="en-US" w:eastAsia="zh-CN"/>
              </w:rPr>
              <w:t>茂名市环境技术中心</w:t>
            </w:r>
          </w:p>
        </w:tc>
        <w:tc>
          <w:tcPr>
            <w:tcW w:w="498" w:type="pct"/>
            <w:noWrap w:val="0"/>
            <w:vAlign w:val="center"/>
          </w:tcPr>
          <w:p w14:paraId="2BCBEFBF">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高级工程师</w:t>
            </w:r>
          </w:p>
        </w:tc>
        <w:tc>
          <w:tcPr>
            <w:tcW w:w="540" w:type="pct"/>
            <w:noWrap w:val="0"/>
            <w:vAlign w:val="center"/>
          </w:tcPr>
          <w:p w14:paraId="165C2FA8">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13828675270</w:t>
            </w:r>
          </w:p>
        </w:tc>
        <w:tc>
          <w:tcPr>
            <w:tcW w:w="803" w:type="pct"/>
            <w:noWrap w:val="0"/>
            <w:vAlign w:val="center"/>
          </w:tcPr>
          <w:p w14:paraId="35D6673A">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2"/>
                <w:sz w:val="24"/>
                <w:szCs w:val="24"/>
                <w:lang w:val="en-US" w:eastAsia="en-US"/>
              </w:rPr>
            </w:pPr>
            <w:r>
              <w:rPr>
                <w:rFonts w:hint="eastAsia" w:ascii="宋体" w:hAnsi="宋体" w:eastAsia="宋体" w:cs="宋体"/>
                <w:spacing w:val="-2"/>
                <w:sz w:val="24"/>
                <w:szCs w:val="24"/>
                <w:lang w:val="en-US" w:eastAsia="zh-CN"/>
              </w:rPr>
              <w:t>440902197507254815</w:t>
            </w:r>
          </w:p>
        </w:tc>
        <w:tc>
          <w:tcPr>
            <w:tcW w:w="560" w:type="pct"/>
            <w:noWrap w:val="0"/>
            <w:vAlign w:val="center"/>
          </w:tcPr>
          <w:p w14:paraId="40946818">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2"/>
                <w:sz w:val="24"/>
                <w:szCs w:val="24"/>
                <w:lang w:val="en-US" w:eastAsia="zh-CN"/>
              </w:rPr>
            </w:pPr>
          </w:p>
        </w:tc>
        <w:tc>
          <w:tcPr>
            <w:tcW w:w="458" w:type="pct"/>
            <w:noWrap w:val="0"/>
            <w:vAlign w:val="center"/>
          </w:tcPr>
          <w:p w14:paraId="47180EA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4"/>
                <w:szCs w:val="24"/>
              </w:rPr>
            </w:pPr>
          </w:p>
        </w:tc>
      </w:tr>
      <w:tr w14:paraId="2A6AEE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exact"/>
          <w:jc w:val="center"/>
        </w:trPr>
        <w:tc>
          <w:tcPr>
            <w:tcW w:w="230" w:type="pct"/>
            <w:noWrap w:val="0"/>
            <w:vAlign w:val="center"/>
          </w:tcPr>
          <w:p w14:paraId="4FD6A3A8">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4"/>
                <w:szCs w:val="24"/>
              </w:rPr>
            </w:pPr>
            <w:r>
              <w:rPr>
                <w:sz w:val="24"/>
                <w:szCs w:val="24"/>
              </w:rPr>
              <w:t>4</w:t>
            </w:r>
          </w:p>
        </w:tc>
        <w:tc>
          <w:tcPr>
            <w:tcW w:w="446" w:type="pct"/>
            <w:vMerge w:val="restart"/>
            <w:noWrap w:val="0"/>
            <w:vAlign w:val="center"/>
          </w:tcPr>
          <w:p w14:paraId="62822D34">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eastAsia="宋体"/>
                <w:spacing w:val="4"/>
                <w:sz w:val="24"/>
                <w:szCs w:val="24"/>
                <w:lang w:val="en-US" w:eastAsia="zh-CN"/>
              </w:rPr>
            </w:pPr>
            <w:r>
              <w:rPr>
                <w:rFonts w:hint="eastAsia"/>
                <w:spacing w:val="4"/>
                <w:sz w:val="24"/>
                <w:szCs w:val="24"/>
                <w:lang w:val="en-US" w:eastAsia="zh-CN"/>
              </w:rPr>
              <w:t>建设单位</w:t>
            </w:r>
          </w:p>
        </w:tc>
        <w:tc>
          <w:tcPr>
            <w:tcW w:w="397" w:type="pct"/>
            <w:noWrap w:val="0"/>
            <w:vAlign w:val="center"/>
          </w:tcPr>
          <w:p w14:paraId="739061BA">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朱铁娟</w:t>
            </w:r>
          </w:p>
        </w:tc>
        <w:tc>
          <w:tcPr>
            <w:tcW w:w="1064" w:type="pct"/>
            <w:noWrap w:val="0"/>
            <w:vAlign w:val="center"/>
          </w:tcPr>
          <w:p w14:paraId="5E57362A">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茂名市茂南中科云粤西产业园管理中心（业主单位）</w:t>
            </w:r>
          </w:p>
        </w:tc>
        <w:tc>
          <w:tcPr>
            <w:tcW w:w="498" w:type="pct"/>
            <w:noWrap w:val="0"/>
            <w:vAlign w:val="center"/>
          </w:tcPr>
          <w:p w14:paraId="36BA5E3C">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副主任</w:t>
            </w:r>
          </w:p>
        </w:tc>
        <w:tc>
          <w:tcPr>
            <w:tcW w:w="540" w:type="pct"/>
            <w:noWrap w:val="0"/>
            <w:vAlign w:val="center"/>
          </w:tcPr>
          <w:p w14:paraId="33130F5A">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13727753529</w:t>
            </w:r>
          </w:p>
        </w:tc>
        <w:tc>
          <w:tcPr>
            <w:tcW w:w="803" w:type="pct"/>
            <w:noWrap w:val="0"/>
            <w:vAlign w:val="center"/>
          </w:tcPr>
          <w:p w14:paraId="32D38668">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4409021979082772440</w:t>
            </w:r>
          </w:p>
        </w:tc>
        <w:tc>
          <w:tcPr>
            <w:tcW w:w="560" w:type="pct"/>
            <w:noWrap w:val="0"/>
            <w:vAlign w:val="center"/>
          </w:tcPr>
          <w:p w14:paraId="6790DC58">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2"/>
                <w:sz w:val="24"/>
                <w:szCs w:val="24"/>
                <w:lang w:val="en-US" w:eastAsia="zh-CN"/>
              </w:rPr>
            </w:pPr>
          </w:p>
        </w:tc>
        <w:tc>
          <w:tcPr>
            <w:tcW w:w="458" w:type="pct"/>
            <w:noWrap w:val="0"/>
            <w:vAlign w:val="center"/>
          </w:tcPr>
          <w:p w14:paraId="42D5CF6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Arial"/>
                <w:sz w:val="24"/>
                <w:szCs w:val="24"/>
              </w:rPr>
            </w:pPr>
          </w:p>
        </w:tc>
      </w:tr>
      <w:tr w14:paraId="1FA5C7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exact"/>
          <w:jc w:val="center"/>
        </w:trPr>
        <w:tc>
          <w:tcPr>
            <w:tcW w:w="230" w:type="pct"/>
            <w:tcBorders>
              <w:bottom w:val="single" w:color="auto" w:sz="4" w:space="0"/>
            </w:tcBorders>
            <w:noWrap w:val="0"/>
            <w:vAlign w:val="center"/>
          </w:tcPr>
          <w:p w14:paraId="222FC5B8">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4"/>
                <w:szCs w:val="24"/>
              </w:rPr>
            </w:pPr>
            <w:r>
              <w:rPr>
                <w:sz w:val="24"/>
                <w:szCs w:val="24"/>
              </w:rPr>
              <w:t>5</w:t>
            </w:r>
          </w:p>
        </w:tc>
        <w:tc>
          <w:tcPr>
            <w:tcW w:w="446" w:type="pct"/>
            <w:vMerge w:val="continue"/>
            <w:tcBorders>
              <w:bottom w:val="single" w:color="auto" w:sz="4" w:space="0"/>
            </w:tcBorders>
            <w:noWrap w:val="0"/>
            <w:vAlign w:val="center"/>
          </w:tcPr>
          <w:p w14:paraId="34D41E2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3"/>
                <w:sz w:val="24"/>
                <w:szCs w:val="24"/>
              </w:rPr>
            </w:pPr>
          </w:p>
        </w:tc>
        <w:tc>
          <w:tcPr>
            <w:tcW w:w="397" w:type="pct"/>
            <w:noWrap w:val="0"/>
            <w:vAlign w:val="center"/>
          </w:tcPr>
          <w:p w14:paraId="2BF8AF0C">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杨学强</w:t>
            </w:r>
          </w:p>
        </w:tc>
        <w:tc>
          <w:tcPr>
            <w:tcW w:w="1064" w:type="pct"/>
            <w:noWrap w:val="0"/>
            <w:vAlign w:val="center"/>
          </w:tcPr>
          <w:p w14:paraId="2234709D">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茂南区工业园管理中心</w:t>
            </w:r>
          </w:p>
          <w:p w14:paraId="1D78BD1A">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（业主单位）</w:t>
            </w:r>
          </w:p>
        </w:tc>
        <w:tc>
          <w:tcPr>
            <w:tcW w:w="498" w:type="pct"/>
            <w:noWrap w:val="0"/>
            <w:vAlign w:val="center"/>
          </w:tcPr>
          <w:p w14:paraId="7D4EC4D5">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部长</w:t>
            </w:r>
          </w:p>
        </w:tc>
        <w:tc>
          <w:tcPr>
            <w:tcW w:w="540" w:type="pct"/>
            <w:noWrap w:val="0"/>
            <w:vAlign w:val="center"/>
          </w:tcPr>
          <w:p w14:paraId="5AF64DDF">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13727836499</w:t>
            </w:r>
          </w:p>
        </w:tc>
        <w:tc>
          <w:tcPr>
            <w:tcW w:w="803" w:type="pct"/>
            <w:noWrap w:val="0"/>
            <w:vAlign w:val="center"/>
          </w:tcPr>
          <w:p w14:paraId="275BBD42">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宋体" w:hAnsi="宋体" w:eastAsia="宋体" w:cs="宋体"/>
                <w:spacing w:val="-2"/>
                <w:sz w:val="24"/>
                <w:szCs w:val="24"/>
                <w:lang w:val="en-US" w:eastAsia="zh-CN"/>
              </w:rPr>
            </w:pPr>
            <w:r>
              <w:rPr>
                <w:rFonts w:hint="default" w:ascii="宋体" w:hAnsi="宋体" w:eastAsia="宋体" w:cs="宋体"/>
                <w:spacing w:val="-2"/>
                <w:sz w:val="24"/>
                <w:szCs w:val="24"/>
                <w:lang w:val="en-US" w:eastAsia="zh-CN"/>
              </w:rPr>
              <w:t>440982198101224073</w:t>
            </w:r>
          </w:p>
        </w:tc>
        <w:tc>
          <w:tcPr>
            <w:tcW w:w="560" w:type="pct"/>
            <w:noWrap w:val="0"/>
            <w:vAlign w:val="center"/>
          </w:tcPr>
          <w:p w14:paraId="7FFEE5C9">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2"/>
                <w:sz w:val="24"/>
                <w:szCs w:val="24"/>
                <w:lang w:val="en-US" w:eastAsia="zh-CN"/>
              </w:rPr>
            </w:pPr>
          </w:p>
        </w:tc>
        <w:tc>
          <w:tcPr>
            <w:tcW w:w="458" w:type="pct"/>
            <w:noWrap w:val="0"/>
            <w:vAlign w:val="center"/>
          </w:tcPr>
          <w:p w14:paraId="2AA6F15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Arial"/>
                <w:sz w:val="24"/>
                <w:szCs w:val="24"/>
              </w:rPr>
            </w:pPr>
          </w:p>
        </w:tc>
      </w:tr>
      <w:tr w14:paraId="3B5AD2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exact"/>
          <w:jc w:val="center"/>
        </w:trPr>
        <w:tc>
          <w:tcPr>
            <w:tcW w:w="230" w:type="pct"/>
            <w:tcBorders>
              <w:top w:val="single" w:color="auto" w:sz="4" w:space="0"/>
              <w:bottom w:val="single" w:color="auto" w:sz="4" w:space="0"/>
            </w:tcBorders>
            <w:noWrap w:val="0"/>
            <w:vAlign w:val="center"/>
          </w:tcPr>
          <w:p w14:paraId="1825D4C4">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4"/>
                <w:szCs w:val="24"/>
              </w:rPr>
            </w:pPr>
            <w:r>
              <w:rPr>
                <w:sz w:val="24"/>
                <w:szCs w:val="24"/>
              </w:rPr>
              <w:t>6</w:t>
            </w:r>
          </w:p>
        </w:tc>
        <w:tc>
          <w:tcPr>
            <w:tcW w:w="446" w:type="pct"/>
            <w:tcBorders>
              <w:top w:val="single" w:color="auto" w:sz="4" w:space="0"/>
              <w:bottom w:val="single" w:color="auto" w:sz="4" w:space="0"/>
            </w:tcBorders>
            <w:noWrap w:val="0"/>
            <w:vAlign w:val="center"/>
          </w:tcPr>
          <w:p w14:paraId="2A3B7E0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eastAsia="宋体"/>
                <w:spacing w:val="-5"/>
                <w:sz w:val="24"/>
                <w:szCs w:val="24"/>
                <w:lang w:val="en-US" w:eastAsia="zh-CN"/>
              </w:rPr>
            </w:pPr>
            <w:r>
              <w:rPr>
                <w:rFonts w:hint="eastAsia" w:eastAsia="宋体"/>
                <w:spacing w:val="-5"/>
                <w:sz w:val="24"/>
                <w:szCs w:val="24"/>
                <w:lang w:val="en-US" w:eastAsia="zh-CN"/>
              </w:rPr>
              <w:t>运营单位</w:t>
            </w:r>
          </w:p>
        </w:tc>
        <w:tc>
          <w:tcPr>
            <w:tcW w:w="397" w:type="pct"/>
            <w:noWrap w:val="0"/>
            <w:vAlign w:val="center"/>
          </w:tcPr>
          <w:p w14:paraId="39E71313">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2"/>
                <w:sz w:val="24"/>
                <w:szCs w:val="24"/>
                <w:lang w:val="en-US" w:eastAsia="zh-CN"/>
              </w:rPr>
            </w:pPr>
            <w:r>
              <w:rPr>
                <w:rFonts w:hint="eastAsia" w:cs="宋体"/>
                <w:spacing w:val="-2"/>
                <w:sz w:val="24"/>
                <w:szCs w:val="24"/>
                <w:lang w:val="en-US" w:eastAsia="zh-CN"/>
              </w:rPr>
              <w:t>黄子洋</w:t>
            </w:r>
          </w:p>
        </w:tc>
        <w:tc>
          <w:tcPr>
            <w:tcW w:w="1064" w:type="pct"/>
            <w:noWrap w:val="0"/>
            <w:vAlign w:val="center"/>
          </w:tcPr>
          <w:p w14:paraId="40CF6505">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广东建环环保工程有限公司</w:t>
            </w:r>
          </w:p>
          <w:p w14:paraId="3AFCF84E">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（运营单位）</w:t>
            </w:r>
          </w:p>
        </w:tc>
        <w:tc>
          <w:tcPr>
            <w:tcW w:w="498" w:type="pct"/>
            <w:noWrap w:val="0"/>
            <w:vAlign w:val="center"/>
          </w:tcPr>
          <w:p w14:paraId="6E270E01">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宋体" w:hAnsi="宋体" w:eastAsia="宋体" w:cs="宋体"/>
                <w:spacing w:val="-2"/>
                <w:sz w:val="24"/>
                <w:szCs w:val="24"/>
                <w:lang w:val="en-US" w:eastAsia="zh-CN"/>
              </w:rPr>
            </w:pPr>
            <w:r>
              <w:rPr>
                <w:rFonts w:hint="eastAsia" w:cs="宋体"/>
                <w:spacing w:val="-2"/>
                <w:sz w:val="24"/>
                <w:szCs w:val="24"/>
                <w:lang w:val="en-US" w:eastAsia="zh-CN"/>
              </w:rPr>
              <w:t>运营主管</w:t>
            </w:r>
          </w:p>
        </w:tc>
        <w:tc>
          <w:tcPr>
            <w:tcW w:w="540" w:type="pct"/>
            <w:noWrap w:val="0"/>
            <w:vAlign w:val="center"/>
          </w:tcPr>
          <w:p w14:paraId="12253A29">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13071665813</w:t>
            </w:r>
          </w:p>
        </w:tc>
        <w:tc>
          <w:tcPr>
            <w:tcW w:w="803" w:type="pct"/>
            <w:noWrap w:val="0"/>
            <w:vAlign w:val="center"/>
          </w:tcPr>
          <w:p w14:paraId="75A4F3B9">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440981199606212818</w:t>
            </w:r>
          </w:p>
        </w:tc>
        <w:tc>
          <w:tcPr>
            <w:tcW w:w="560" w:type="pct"/>
            <w:noWrap w:val="0"/>
            <w:vAlign w:val="center"/>
          </w:tcPr>
          <w:p w14:paraId="76796B7E">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2"/>
                <w:sz w:val="24"/>
                <w:szCs w:val="24"/>
                <w:lang w:val="en-US" w:eastAsia="zh-CN"/>
              </w:rPr>
            </w:pPr>
          </w:p>
        </w:tc>
        <w:tc>
          <w:tcPr>
            <w:tcW w:w="458" w:type="pct"/>
            <w:noWrap w:val="0"/>
            <w:vAlign w:val="center"/>
          </w:tcPr>
          <w:p w14:paraId="26EAFDE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z w:val="24"/>
                <w:szCs w:val="24"/>
              </w:rPr>
            </w:pPr>
          </w:p>
        </w:tc>
      </w:tr>
      <w:tr w14:paraId="09CE48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exact"/>
          <w:jc w:val="center"/>
        </w:trPr>
        <w:tc>
          <w:tcPr>
            <w:tcW w:w="230" w:type="pct"/>
            <w:tcBorders>
              <w:top w:val="single" w:color="auto" w:sz="4" w:space="0"/>
            </w:tcBorders>
            <w:noWrap w:val="0"/>
            <w:vAlign w:val="center"/>
          </w:tcPr>
          <w:p w14:paraId="3632B53D">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eastAsia="宋体"/>
                <w:sz w:val="24"/>
                <w:szCs w:val="24"/>
                <w:lang w:val="en-US" w:eastAsia="zh-CN"/>
              </w:rPr>
            </w:pPr>
            <w:r>
              <w:rPr>
                <w:rFonts w:hint="eastAsia"/>
                <w:sz w:val="24"/>
                <w:szCs w:val="24"/>
                <w:lang w:val="en-US" w:eastAsia="zh-CN"/>
              </w:rPr>
              <w:t>8</w:t>
            </w:r>
          </w:p>
        </w:tc>
        <w:tc>
          <w:tcPr>
            <w:tcW w:w="446" w:type="pct"/>
            <w:tcBorders>
              <w:top w:val="single" w:color="auto" w:sz="4" w:space="0"/>
            </w:tcBorders>
            <w:noWrap w:val="0"/>
            <w:vAlign w:val="center"/>
          </w:tcPr>
          <w:p w14:paraId="6DAD148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Arial" w:hAnsi="Arial" w:eastAsia="Arial" w:cs="Arial"/>
                <w:snapToGrid w:val="0"/>
                <w:color w:val="000000"/>
                <w:spacing w:val="-5"/>
                <w:kern w:val="0"/>
                <w:sz w:val="24"/>
                <w:szCs w:val="24"/>
                <w:lang w:val="en-US" w:eastAsia="zh-CN" w:bidi="ar-SA"/>
              </w:rPr>
            </w:pPr>
            <w:r>
              <w:rPr>
                <w:rFonts w:hint="eastAsia" w:cs="Arial"/>
                <w:snapToGrid w:val="0"/>
                <w:color w:val="000000"/>
                <w:spacing w:val="-5"/>
                <w:kern w:val="0"/>
                <w:sz w:val="24"/>
                <w:szCs w:val="24"/>
                <w:lang w:val="en-US" w:eastAsia="zh-CN" w:bidi="ar-SA"/>
              </w:rPr>
              <w:t>环保设施设计单位</w:t>
            </w:r>
          </w:p>
        </w:tc>
        <w:tc>
          <w:tcPr>
            <w:tcW w:w="397" w:type="pct"/>
            <w:noWrap w:val="0"/>
            <w:vAlign w:val="center"/>
          </w:tcPr>
          <w:p w14:paraId="264EA094">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陈伟汉</w:t>
            </w:r>
          </w:p>
        </w:tc>
        <w:tc>
          <w:tcPr>
            <w:tcW w:w="1064" w:type="pct"/>
            <w:noWrap w:val="0"/>
            <w:vAlign w:val="center"/>
          </w:tcPr>
          <w:p w14:paraId="2526F3DC">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2"/>
                <w:sz w:val="24"/>
                <w:szCs w:val="24"/>
                <w:lang w:val="en-US" w:eastAsia="en-US"/>
              </w:rPr>
            </w:pPr>
            <w:r>
              <w:rPr>
                <w:rFonts w:hint="eastAsia" w:ascii="宋体" w:hAnsi="宋体" w:eastAsia="宋体" w:cs="宋体"/>
                <w:spacing w:val="-2"/>
                <w:sz w:val="24"/>
                <w:szCs w:val="24"/>
                <w:lang w:val="en-US" w:eastAsia="en-US"/>
              </w:rPr>
              <w:t>中交第四航务工程勘察设计院有限公司</w:t>
            </w:r>
          </w:p>
        </w:tc>
        <w:tc>
          <w:tcPr>
            <w:tcW w:w="498" w:type="pct"/>
            <w:noWrap w:val="0"/>
            <w:vAlign w:val="center"/>
          </w:tcPr>
          <w:p w14:paraId="080E77D9">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宋体" w:hAnsi="宋体" w:eastAsia="宋体" w:cs="宋体"/>
                <w:spacing w:val="-2"/>
                <w:sz w:val="24"/>
                <w:szCs w:val="24"/>
                <w:lang w:val="en-US" w:eastAsia="zh-CN"/>
              </w:rPr>
            </w:pPr>
            <w:r>
              <w:rPr>
                <w:rFonts w:hint="eastAsia" w:cs="宋体"/>
                <w:spacing w:val="-2"/>
                <w:sz w:val="24"/>
                <w:szCs w:val="24"/>
                <w:lang w:val="en-US" w:eastAsia="zh-CN"/>
              </w:rPr>
              <w:t>高级工程师</w:t>
            </w:r>
          </w:p>
        </w:tc>
        <w:tc>
          <w:tcPr>
            <w:tcW w:w="540" w:type="pct"/>
            <w:noWrap w:val="0"/>
            <w:vAlign w:val="center"/>
          </w:tcPr>
          <w:p w14:paraId="1DBC7310">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宋体" w:hAnsi="宋体" w:eastAsia="宋体" w:cs="宋体"/>
                <w:spacing w:val="-2"/>
                <w:sz w:val="24"/>
                <w:szCs w:val="24"/>
                <w:lang w:val="en-US" w:eastAsia="zh-CN"/>
              </w:rPr>
            </w:pPr>
            <w:r>
              <w:rPr>
                <w:rFonts w:hint="default" w:ascii="宋体" w:hAnsi="宋体" w:eastAsia="宋体" w:cs="宋体"/>
                <w:spacing w:val="-2"/>
                <w:sz w:val="24"/>
                <w:szCs w:val="24"/>
                <w:lang w:val="en-US" w:eastAsia="zh-CN"/>
              </w:rPr>
              <w:t>13580483942</w:t>
            </w:r>
          </w:p>
        </w:tc>
        <w:tc>
          <w:tcPr>
            <w:tcW w:w="803" w:type="pct"/>
            <w:noWrap w:val="0"/>
            <w:vAlign w:val="center"/>
          </w:tcPr>
          <w:p w14:paraId="6A329387">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440106198311250317</w:t>
            </w:r>
          </w:p>
        </w:tc>
        <w:tc>
          <w:tcPr>
            <w:tcW w:w="560" w:type="pct"/>
            <w:noWrap w:val="0"/>
            <w:vAlign w:val="center"/>
          </w:tcPr>
          <w:p w14:paraId="55DAC832">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2"/>
                <w:sz w:val="24"/>
                <w:szCs w:val="24"/>
                <w:lang w:val="en-US" w:eastAsia="zh-CN"/>
              </w:rPr>
            </w:pPr>
          </w:p>
        </w:tc>
        <w:tc>
          <w:tcPr>
            <w:tcW w:w="458" w:type="pct"/>
            <w:noWrap w:val="0"/>
            <w:vAlign w:val="center"/>
          </w:tcPr>
          <w:p w14:paraId="2EAB1BC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Arial"/>
                <w:sz w:val="24"/>
                <w:szCs w:val="24"/>
              </w:rPr>
            </w:pPr>
          </w:p>
        </w:tc>
      </w:tr>
      <w:tr w14:paraId="0AAB6D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exact"/>
          <w:jc w:val="center"/>
        </w:trPr>
        <w:tc>
          <w:tcPr>
            <w:tcW w:w="230" w:type="pct"/>
            <w:tcBorders>
              <w:top w:val="single" w:color="auto" w:sz="4" w:space="0"/>
            </w:tcBorders>
            <w:noWrap w:val="0"/>
            <w:vAlign w:val="center"/>
          </w:tcPr>
          <w:p w14:paraId="0268D733">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sz w:val="24"/>
                <w:szCs w:val="24"/>
                <w:lang w:val="en-US" w:eastAsia="zh-CN"/>
              </w:rPr>
            </w:pPr>
            <w:r>
              <w:rPr>
                <w:rFonts w:hint="eastAsia"/>
                <w:sz w:val="24"/>
                <w:szCs w:val="24"/>
                <w:lang w:val="en-US" w:eastAsia="zh-CN"/>
              </w:rPr>
              <w:t>9</w:t>
            </w:r>
          </w:p>
        </w:tc>
        <w:tc>
          <w:tcPr>
            <w:tcW w:w="446" w:type="pct"/>
            <w:tcBorders>
              <w:top w:val="single" w:color="auto" w:sz="4" w:space="0"/>
            </w:tcBorders>
            <w:noWrap w:val="0"/>
            <w:vAlign w:val="center"/>
          </w:tcPr>
          <w:p w14:paraId="6F79813E">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cs="Arial"/>
                <w:snapToGrid w:val="0"/>
                <w:color w:val="000000"/>
                <w:spacing w:val="-5"/>
                <w:kern w:val="0"/>
                <w:sz w:val="24"/>
                <w:szCs w:val="24"/>
                <w:lang w:val="en-US" w:eastAsia="zh-CN" w:bidi="ar-SA"/>
              </w:rPr>
            </w:pPr>
            <w:r>
              <w:rPr>
                <w:rFonts w:hint="eastAsia" w:cs="Arial"/>
                <w:snapToGrid w:val="0"/>
                <w:color w:val="000000"/>
                <w:spacing w:val="-5"/>
                <w:kern w:val="0"/>
                <w:sz w:val="24"/>
                <w:szCs w:val="24"/>
                <w:lang w:val="en-US" w:eastAsia="zh-CN" w:bidi="ar-SA"/>
              </w:rPr>
              <w:t>环保设施施工单位</w:t>
            </w:r>
          </w:p>
        </w:tc>
        <w:tc>
          <w:tcPr>
            <w:tcW w:w="397" w:type="pct"/>
            <w:noWrap w:val="0"/>
            <w:vAlign w:val="center"/>
          </w:tcPr>
          <w:p w14:paraId="1F5CDD75">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李南胜</w:t>
            </w:r>
          </w:p>
        </w:tc>
        <w:tc>
          <w:tcPr>
            <w:tcW w:w="1064" w:type="pct"/>
            <w:noWrap w:val="0"/>
            <w:vAlign w:val="center"/>
          </w:tcPr>
          <w:p w14:paraId="5DC5B937">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2"/>
                <w:sz w:val="24"/>
                <w:szCs w:val="24"/>
                <w:lang w:val="en-US" w:eastAsia="en-US"/>
              </w:rPr>
            </w:pPr>
            <w:r>
              <w:rPr>
                <w:rFonts w:hint="eastAsia" w:cs="宋体"/>
                <w:spacing w:val="-2"/>
                <w:sz w:val="24"/>
                <w:szCs w:val="24"/>
                <w:lang w:val="en-US" w:eastAsia="zh-CN"/>
              </w:rPr>
              <w:t>广</w:t>
            </w:r>
            <w:r>
              <w:rPr>
                <w:rFonts w:hint="eastAsia" w:ascii="宋体" w:hAnsi="宋体" w:eastAsia="宋体" w:cs="宋体"/>
                <w:spacing w:val="-2"/>
                <w:sz w:val="24"/>
                <w:szCs w:val="24"/>
                <w:lang w:val="en-US" w:eastAsia="en-US"/>
              </w:rPr>
              <w:t>东电白二建集团有限公司</w:t>
            </w:r>
          </w:p>
        </w:tc>
        <w:tc>
          <w:tcPr>
            <w:tcW w:w="498" w:type="pct"/>
            <w:noWrap w:val="0"/>
            <w:vAlign w:val="center"/>
          </w:tcPr>
          <w:p w14:paraId="55F3B936">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宋体" w:hAnsi="宋体" w:eastAsia="宋体" w:cs="宋体"/>
                <w:spacing w:val="-2"/>
                <w:sz w:val="24"/>
                <w:szCs w:val="24"/>
                <w:lang w:val="en-US" w:eastAsia="zh-CN"/>
              </w:rPr>
            </w:pPr>
            <w:r>
              <w:rPr>
                <w:rFonts w:hint="eastAsia" w:cs="宋体"/>
                <w:spacing w:val="-2"/>
                <w:sz w:val="24"/>
                <w:szCs w:val="24"/>
                <w:lang w:val="en-US" w:eastAsia="zh-CN"/>
              </w:rPr>
              <w:t>经理</w:t>
            </w:r>
          </w:p>
        </w:tc>
        <w:tc>
          <w:tcPr>
            <w:tcW w:w="540" w:type="pct"/>
            <w:noWrap w:val="0"/>
            <w:vAlign w:val="center"/>
          </w:tcPr>
          <w:p w14:paraId="0BA1911E">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宋体" w:hAnsi="宋体" w:eastAsia="宋体" w:cs="宋体"/>
                <w:spacing w:val="-2"/>
                <w:sz w:val="24"/>
                <w:szCs w:val="24"/>
                <w:lang w:val="en-US" w:eastAsia="zh-CN"/>
              </w:rPr>
            </w:pPr>
            <w:r>
              <w:rPr>
                <w:rFonts w:hint="default" w:ascii="宋体" w:hAnsi="宋体" w:eastAsia="宋体" w:cs="宋体"/>
                <w:spacing w:val="-2"/>
                <w:sz w:val="24"/>
                <w:szCs w:val="24"/>
                <w:lang w:val="en-US" w:eastAsia="zh-CN"/>
              </w:rPr>
              <w:t>18127316269</w:t>
            </w:r>
          </w:p>
        </w:tc>
        <w:tc>
          <w:tcPr>
            <w:tcW w:w="803" w:type="pct"/>
            <w:noWrap w:val="0"/>
            <w:vAlign w:val="center"/>
          </w:tcPr>
          <w:p w14:paraId="75ED458B">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440902199108025256</w:t>
            </w:r>
          </w:p>
        </w:tc>
        <w:tc>
          <w:tcPr>
            <w:tcW w:w="560" w:type="pct"/>
            <w:noWrap w:val="0"/>
            <w:vAlign w:val="center"/>
          </w:tcPr>
          <w:p w14:paraId="045E43E4">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2"/>
                <w:sz w:val="24"/>
                <w:szCs w:val="24"/>
                <w:lang w:val="en-US" w:eastAsia="zh-CN"/>
              </w:rPr>
            </w:pPr>
          </w:p>
        </w:tc>
        <w:tc>
          <w:tcPr>
            <w:tcW w:w="458" w:type="pct"/>
            <w:noWrap w:val="0"/>
            <w:vAlign w:val="center"/>
          </w:tcPr>
          <w:p w14:paraId="4BC707A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Arial"/>
                <w:sz w:val="24"/>
                <w:szCs w:val="24"/>
              </w:rPr>
            </w:pPr>
          </w:p>
        </w:tc>
      </w:tr>
      <w:tr w14:paraId="2B02E9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exact"/>
          <w:jc w:val="center"/>
        </w:trPr>
        <w:tc>
          <w:tcPr>
            <w:tcW w:w="230" w:type="pct"/>
            <w:noWrap w:val="0"/>
            <w:vAlign w:val="center"/>
          </w:tcPr>
          <w:p w14:paraId="4C39110C">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eastAsia="宋体"/>
                <w:sz w:val="24"/>
                <w:szCs w:val="24"/>
                <w:lang w:val="en-US" w:eastAsia="zh-CN"/>
              </w:rPr>
            </w:pPr>
            <w:r>
              <w:rPr>
                <w:rFonts w:hint="eastAsia"/>
                <w:sz w:val="24"/>
                <w:szCs w:val="24"/>
                <w:lang w:val="en-US" w:eastAsia="zh-CN"/>
              </w:rPr>
              <w:t>10</w:t>
            </w:r>
          </w:p>
        </w:tc>
        <w:tc>
          <w:tcPr>
            <w:tcW w:w="446" w:type="pct"/>
            <w:noWrap w:val="0"/>
            <w:vAlign w:val="center"/>
          </w:tcPr>
          <w:p w14:paraId="0E4CEDF0">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2"/>
                <w:sz w:val="24"/>
                <w:szCs w:val="24"/>
              </w:rPr>
            </w:pPr>
            <w:r>
              <w:rPr>
                <w:rFonts w:hint="eastAsia"/>
                <w:spacing w:val="-2"/>
                <w:sz w:val="24"/>
                <w:szCs w:val="24"/>
                <w:lang w:val="en-US" w:eastAsia="zh-CN"/>
              </w:rPr>
              <w:t>验收</w:t>
            </w:r>
            <w:r>
              <w:rPr>
                <w:spacing w:val="-2"/>
                <w:sz w:val="24"/>
                <w:szCs w:val="24"/>
              </w:rPr>
              <w:t>监测</w:t>
            </w:r>
          </w:p>
          <w:p w14:paraId="768E2414">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spacing w:val="4"/>
                <w:sz w:val="24"/>
                <w:szCs w:val="24"/>
              </w:rPr>
            </w:pPr>
            <w:r>
              <w:rPr>
                <w:spacing w:val="-2"/>
                <w:sz w:val="24"/>
                <w:szCs w:val="24"/>
              </w:rPr>
              <w:t>单位</w:t>
            </w:r>
          </w:p>
        </w:tc>
        <w:tc>
          <w:tcPr>
            <w:tcW w:w="397" w:type="pct"/>
            <w:noWrap w:val="0"/>
            <w:vAlign w:val="center"/>
          </w:tcPr>
          <w:p w14:paraId="4A873EA9">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任海霞</w:t>
            </w:r>
          </w:p>
        </w:tc>
        <w:tc>
          <w:tcPr>
            <w:tcW w:w="1064" w:type="pct"/>
            <w:noWrap w:val="0"/>
            <w:vAlign w:val="center"/>
          </w:tcPr>
          <w:p w14:paraId="386395C0">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广东中科检测技术有限公司</w:t>
            </w:r>
          </w:p>
        </w:tc>
        <w:tc>
          <w:tcPr>
            <w:tcW w:w="498" w:type="pct"/>
            <w:noWrap w:val="0"/>
            <w:vAlign w:val="center"/>
          </w:tcPr>
          <w:p w14:paraId="49A7E143">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工程师</w:t>
            </w:r>
          </w:p>
        </w:tc>
        <w:tc>
          <w:tcPr>
            <w:tcW w:w="540" w:type="pct"/>
            <w:noWrap w:val="0"/>
            <w:vAlign w:val="center"/>
          </w:tcPr>
          <w:p w14:paraId="0DE971F4">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15886730178</w:t>
            </w:r>
          </w:p>
        </w:tc>
        <w:tc>
          <w:tcPr>
            <w:tcW w:w="803" w:type="pct"/>
            <w:noWrap w:val="0"/>
            <w:vAlign w:val="center"/>
          </w:tcPr>
          <w:p w14:paraId="68D1F35C">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410223498807086561</w:t>
            </w:r>
          </w:p>
        </w:tc>
        <w:tc>
          <w:tcPr>
            <w:tcW w:w="560" w:type="pct"/>
            <w:noWrap w:val="0"/>
            <w:vAlign w:val="center"/>
          </w:tcPr>
          <w:p w14:paraId="726ABD05">
            <w:pPr>
              <w:pStyle w:val="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2"/>
                <w:sz w:val="24"/>
                <w:szCs w:val="24"/>
                <w:lang w:val="en-US" w:eastAsia="zh-CN"/>
              </w:rPr>
            </w:pPr>
          </w:p>
        </w:tc>
        <w:tc>
          <w:tcPr>
            <w:tcW w:w="458" w:type="pct"/>
            <w:noWrap w:val="0"/>
            <w:vAlign w:val="center"/>
          </w:tcPr>
          <w:p w14:paraId="565FBF1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Arial"/>
                <w:sz w:val="24"/>
                <w:szCs w:val="24"/>
              </w:rPr>
            </w:pPr>
          </w:p>
        </w:tc>
      </w:tr>
    </w:tbl>
    <w:p w14:paraId="2EEF731E">
      <w:pPr>
        <w:rPr>
          <w:rFonts w:hint="default" w:ascii="Times New Roman" w:hAnsi="Times New Roman" w:cs="Times New Roman"/>
          <w:sz w:val="28"/>
          <w:szCs w:val="28"/>
        </w:rPr>
      </w:pPr>
    </w:p>
    <w:sectPr>
      <w:pgSz w:w="16838" w:h="11906" w:orient="landscape"/>
      <w:pgMar w:top="1077" w:right="1440" w:bottom="1077" w:left="1440" w:header="851" w:footer="992" w:gutter="0"/>
      <w:pgNumType w:fmt="decimal"/>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8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37CEEC">
    <w:pPr>
      <w:pStyle w:val="1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ED283B">
                          <w:pPr>
                            <w:pStyle w:val="1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1ED283B">
                    <w:pPr>
                      <w:pStyle w:val="1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18</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C47B44"/>
    <w:multiLevelType w:val="singleLevel"/>
    <w:tmpl w:val="8DC47B44"/>
    <w:lvl w:ilvl="0" w:tentative="0">
      <w:start w:val="1"/>
      <w:numFmt w:val="decimal"/>
      <w:suff w:val="nothing"/>
      <w:lvlText w:val="%1、"/>
      <w:lvlJc w:val="left"/>
    </w:lvl>
  </w:abstractNum>
  <w:abstractNum w:abstractNumId="1">
    <w:nsid w:val="BF40290E"/>
    <w:multiLevelType w:val="multilevel"/>
    <w:tmpl w:val="BF40290E"/>
    <w:lvl w:ilvl="0" w:tentative="0">
      <w:start w:val="1"/>
      <w:numFmt w:val="chineseCounting"/>
      <w:suff w:val="nothing"/>
      <w:lvlText w:val="表%1"/>
      <w:lvlJc w:val="left"/>
      <w:pPr>
        <w:tabs>
          <w:tab w:val="left" w:pos="420"/>
        </w:tabs>
        <w:ind w:left="432" w:hanging="432"/>
      </w:pPr>
      <w:rPr>
        <w:rFonts w:hint="eastAsia"/>
        <w:b/>
        <w:bCs/>
        <w:sz w:val="28"/>
        <w:szCs w:val="28"/>
      </w:rPr>
    </w:lvl>
    <w:lvl w:ilvl="1" w:tentative="0">
      <w:start w:val="1"/>
      <w:numFmt w:val="decimal"/>
      <w:pStyle w:val="3"/>
      <w:isLgl/>
      <w:suff w:val="nothing"/>
      <w:lvlText w:val="%1.%2"/>
      <w:lvlJc w:val="left"/>
      <w:pPr>
        <w:tabs>
          <w:tab w:val="left" w:pos="420"/>
        </w:tabs>
        <w:ind w:left="575" w:hanging="575"/>
      </w:pPr>
      <w:rPr>
        <w:rFonts w:hint="eastAsia"/>
        <w:b/>
        <w:bCs/>
        <w:sz w:val="24"/>
        <w:szCs w:val="24"/>
      </w:rPr>
    </w:lvl>
    <w:lvl w:ilvl="2" w:tentative="0">
      <w:start w:val="1"/>
      <w:numFmt w:val="decimal"/>
      <w:pStyle w:val="4"/>
      <w:isLgl/>
      <w:suff w:val="nothing"/>
      <w:lvlText w:val="%1.%2.%3"/>
      <w:lvlJc w:val="left"/>
      <w:pPr>
        <w:tabs>
          <w:tab w:val="left" w:pos="420"/>
        </w:tabs>
        <w:ind w:left="720" w:hanging="720"/>
      </w:pPr>
      <w:rPr>
        <w:rFonts w:hint="eastAsia"/>
        <w:b/>
        <w:bCs/>
        <w:sz w:val="24"/>
        <w:szCs w:val="24"/>
      </w:rPr>
    </w:lvl>
    <w:lvl w:ilvl="3" w:tentative="0">
      <w:start w:val="1"/>
      <w:numFmt w:val="decimal"/>
      <w:pStyle w:val="5"/>
      <w:isLgl/>
      <w:suff w:val="nothing"/>
      <w:lvlText w:val="%1.%2.%3.%4"/>
      <w:lvlJc w:val="left"/>
      <w:pPr>
        <w:tabs>
          <w:tab w:val="left" w:pos="420"/>
        </w:tabs>
        <w:ind w:left="864" w:hanging="864"/>
      </w:pPr>
      <w:rPr>
        <w:rFonts w:hint="eastAsia"/>
        <w:b/>
        <w:bCs/>
        <w:sz w:val="24"/>
        <w:szCs w:val="24"/>
      </w:rPr>
    </w:lvl>
    <w:lvl w:ilvl="4" w:tentative="0">
      <w:start w:val="1"/>
      <w:numFmt w:val="decimal"/>
      <w:lvlText w:val="%1.%2.%3.%4.%5."/>
      <w:lvlJc w:val="left"/>
      <w:pPr>
        <w:ind w:left="1008" w:hanging="1008"/>
      </w:pPr>
      <w:rPr>
        <w:rFonts w:hint="eastAsia"/>
      </w:rPr>
    </w:lvl>
    <w:lvl w:ilvl="5" w:tentative="0">
      <w:start w:val="1"/>
      <w:numFmt w:val="decimal"/>
      <w:lvlText w:val="%1.%2.%3.%4.%5.%6."/>
      <w:lvlJc w:val="left"/>
      <w:pPr>
        <w:ind w:left="1151" w:hanging="1151"/>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3" w:hanging="1583"/>
      </w:pPr>
      <w:rPr>
        <w:rFonts w:hint="eastAsia"/>
      </w:rPr>
    </w:lvl>
  </w:abstractNum>
  <w:abstractNum w:abstractNumId="2">
    <w:nsid w:val="5667CC02"/>
    <w:multiLevelType w:val="singleLevel"/>
    <w:tmpl w:val="5667CC02"/>
    <w:lvl w:ilvl="0" w:tentative="0">
      <w:start w:val="1"/>
      <w:numFmt w:val="bullet"/>
      <w:pStyle w:val="10"/>
      <w:lvlText w:val=""/>
      <w:lvlJc w:val="left"/>
      <w:pPr>
        <w:tabs>
          <w:tab w:val="left" w:pos="780"/>
        </w:tabs>
        <w:ind w:left="7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741E"/>
    <w:rsid w:val="000016EE"/>
    <w:rsid w:val="00015B34"/>
    <w:rsid w:val="000E247D"/>
    <w:rsid w:val="000E4216"/>
    <w:rsid w:val="000F7665"/>
    <w:rsid w:val="00146CCD"/>
    <w:rsid w:val="00155172"/>
    <w:rsid w:val="00210D0F"/>
    <w:rsid w:val="00317067"/>
    <w:rsid w:val="0034690C"/>
    <w:rsid w:val="003D3E84"/>
    <w:rsid w:val="00464DD3"/>
    <w:rsid w:val="004B1A7D"/>
    <w:rsid w:val="00500007"/>
    <w:rsid w:val="00562A82"/>
    <w:rsid w:val="005A1049"/>
    <w:rsid w:val="005B0AC7"/>
    <w:rsid w:val="00637D63"/>
    <w:rsid w:val="006C71D9"/>
    <w:rsid w:val="00703BCA"/>
    <w:rsid w:val="007815C1"/>
    <w:rsid w:val="007B029A"/>
    <w:rsid w:val="00845E77"/>
    <w:rsid w:val="009640D6"/>
    <w:rsid w:val="009C5D53"/>
    <w:rsid w:val="00A32D2C"/>
    <w:rsid w:val="00AA7676"/>
    <w:rsid w:val="00AB5D80"/>
    <w:rsid w:val="00B848AE"/>
    <w:rsid w:val="00C65173"/>
    <w:rsid w:val="00C86736"/>
    <w:rsid w:val="00CA60AA"/>
    <w:rsid w:val="00CC401E"/>
    <w:rsid w:val="00D70C5C"/>
    <w:rsid w:val="00D7111C"/>
    <w:rsid w:val="00E7361C"/>
    <w:rsid w:val="00E92B1D"/>
    <w:rsid w:val="00ED3ABB"/>
    <w:rsid w:val="00EE53A7"/>
    <w:rsid w:val="00F27EE0"/>
    <w:rsid w:val="00FA60C0"/>
    <w:rsid w:val="00FB741E"/>
    <w:rsid w:val="00FD10FC"/>
    <w:rsid w:val="0795047E"/>
    <w:rsid w:val="086234BC"/>
    <w:rsid w:val="097325E2"/>
    <w:rsid w:val="0D442DD2"/>
    <w:rsid w:val="0DBC4291"/>
    <w:rsid w:val="107066C8"/>
    <w:rsid w:val="11474DF0"/>
    <w:rsid w:val="13A445CA"/>
    <w:rsid w:val="140856CF"/>
    <w:rsid w:val="17C0021F"/>
    <w:rsid w:val="192D6E10"/>
    <w:rsid w:val="1ABC5AA3"/>
    <w:rsid w:val="1CD32679"/>
    <w:rsid w:val="1E354AED"/>
    <w:rsid w:val="23385B1D"/>
    <w:rsid w:val="2AC11022"/>
    <w:rsid w:val="30AD4112"/>
    <w:rsid w:val="333F21AA"/>
    <w:rsid w:val="395A1104"/>
    <w:rsid w:val="3CB534ED"/>
    <w:rsid w:val="3F426C1A"/>
    <w:rsid w:val="414C5002"/>
    <w:rsid w:val="415E1599"/>
    <w:rsid w:val="41713135"/>
    <w:rsid w:val="42793E97"/>
    <w:rsid w:val="43DF33A1"/>
    <w:rsid w:val="46AF437E"/>
    <w:rsid w:val="46D30747"/>
    <w:rsid w:val="4ED010B8"/>
    <w:rsid w:val="50543030"/>
    <w:rsid w:val="52582DA9"/>
    <w:rsid w:val="5CE3581F"/>
    <w:rsid w:val="5D0E733B"/>
    <w:rsid w:val="6E91666F"/>
    <w:rsid w:val="6F2D094A"/>
    <w:rsid w:val="6FB82F65"/>
    <w:rsid w:val="72403F74"/>
    <w:rsid w:val="743D7A4F"/>
    <w:rsid w:val="7B0B2B4D"/>
    <w:rsid w:val="7DA00F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name="annotation text"/>
    <w:lsdException w:qFormat="1" w:uiPriority="99" w:name="header"/>
    <w:lsdException w:uiPriority="99"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qFormat="1"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1"/>
      <w:lang w:val="en-US" w:eastAsia="zh-CN" w:bidi="ar-SA"/>
    </w:rPr>
  </w:style>
  <w:style w:type="paragraph" w:styleId="2">
    <w:name w:val="heading 1"/>
    <w:basedOn w:val="1"/>
    <w:next w:val="1"/>
    <w:link w:val="25"/>
    <w:qFormat/>
    <w:uiPriority w:val="99"/>
    <w:pPr>
      <w:keepNext/>
      <w:spacing w:line="360" w:lineRule="exact"/>
      <w:jc w:val="center"/>
      <w:outlineLvl w:val="0"/>
    </w:pPr>
    <w:rPr>
      <w:b/>
      <w:bCs/>
      <w:spacing w:val="-16"/>
    </w:rPr>
  </w:style>
  <w:style w:type="paragraph" w:styleId="3">
    <w:name w:val="heading 2"/>
    <w:basedOn w:val="1"/>
    <w:next w:val="1"/>
    <w:semiHidden/>
    <w:unhideWhenUsed/>
    <w:qFormat/>
    <w:uiPriority w:val="9"/>
    <w:pPr>
      <w:keepNext/>
      <w:keepLines/>
      <w:numPr>
        <w:ilvl w:val="1"/>
        <w:numId w:val="1"/>
      </w:numPr>
      <w:spacing w:before="50" w:beforeLines="50" w:beforeAutospacing="0" w:afterLines="0" w:afterAutospacing="0" w:line="360" w:lineRule="auto"/>
      <w:ind w:left="575" w:hanging="575" w:firstLineChars="0"/>
      <w:jc w:val="left"/>
      <w:outlineLvl w:val="1"/>
    </w:pPr>
    <w:rPr>
      <w:rFonts w:ascii="Times New Roman" w:hAnsi="Times New Roman" w:eastAsia="宋体"/>
      <w:b/>
      <w:bCs/>
    </w:rPr>
  </w:style>
  <w:style w:type="paragraph" w:styleId="4">
    <w:name w:val="heading 3"/>
    <w:basedOn w:val="1"/>
    <w:next w:val="1"/>
    <w:semiHidden/>
    <w:unhideWhenUsed/>
    <w:qFormat/>
    <w:uiPriority w:val="9"/>
    <w:pPr>
      <w:keepNext/>
      <w:keepLines/>
      <w:numPr>
        <w:ilvl w:val="2"/>
        <w:numId w:val="1"/>
      </w:numPr>
      <w:spacing w:before="50" w:beforeLines="50" w:beforeAutospacing="0" w:afterLines="0" w:afterAutospacing="0" w:line="360" w:lineRule="auto"/>
      <w:ind w:left="720" w:hanging="720" w:firstLineChars="0"/>
      <w:outlineLvl w:val="2"/>
    </w:pPr>
    <w:rPr>
      <w:rFonts w:ascii="Times New Roman" w:hAnsi="Times New Roman" w:eastAsia="宋体"/>
      <w:b/>
      <w:bCs/>
    </w:rPr>
  </w:style>
  <w:style w:type="paragraph" w:styleId="5">
    <w:name w:val="heading 4"/>
    <w:basedOn w:val="1"/>
    <w:next w:val="1"/>
    <w:autoRedefine/>
    <w:semiHidden/>
    <w:unhideWhenUsed/>
    <w:qFormat/>
    <w:uiPriority w:val="9"/>
    <w:pPr>
      <w:keepNext/>
      <w:keepLines/>
      <w:numPr>
        <w:ilvl w:val="3"/>
        <w:numId w:val="1"/>
      </w:numPr>
      <w:spacing w:beforeAutospacing="0" w:afterLines="0" w:afterAutospacing="0" w:line="360" w:lineRule="auto"/>
      <w:ind w:left="864" w:hanging="864" w:firstLineChars="0"/>
      <w:jc w:val="left"/>
      <w:outlineLvl w:val="3"/>
    </w:pPr>
    <w:rPr>
      <w:rFonts w:ascii="Times New Roman" w:hAnsi="Times New Roman" w:eastAsia="宋体"/>
      <w:b/>
      <w:bCs/>
    </w:rPr>
  </w:style>
  <w:style w:type="character" w:default="1" w:styleId="23">
    <w:name w:val="Default Paragraph Font"/>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6">
    <w:name w:val="Normal Indent"/>
    <w:basedOn w:val="1"/>
    <w:unhideWhenUsed/>
    <w:qFormat/>
    <w:uiPriority w:val="99"/>
    <w:pPr>
      <w:ind w:firstLine="420" w:firstLineChars="200"/>
    </w:pPr>
  </w:style>
  <w:style w:type="paragraph" w:styleId="7">
    <w:name w:val="caption"/>
    <w:basedOn w:val="1"/>
    <w:next w:val="1"/>
    <w:semiHidden/>
    <w:unhideWhenUsed/>
    <w:qFormat/>
    <w:uiPriority w:val="0"/>
    <w:pPr>
      <w:spacing w:before="50" w:beforeLines="50" w:line="0" w:lineRule="atLeast"/>
      <w:ind w:firstLine="0" w:firstLineChars="0"/>
      <w:jc w:val="center"/>
    </w:pPr>
    <w:rPr>
      <w:rFonts w:ascii="Times New Roman" w:hAnsi="Times New Roman" w:eastAsia="宋体" w:cs="宋体"/>
      <w:b/>
      <w:bCs/>
    </w:rPr>
  </w:style>
  <w:style w:type="paragraph" w:styleId="8">
    <w:name w:val="annotation text"/>
    <w:basedOn w:val="1"/>
    <w:semiHidden/>
    <w:unhideWhenUsed/>
    <w:qFormat/>
    <w:uiPriority w:val="99"/>
    <w:pPr>
      <w:jc w:val="left"/>
    </w:pPr>
  </w:style>
  <w:style w:type="paragraph" w:styleId="9">
    <w:name w:val="Body Text"/>
    <w:basedOn w:val="1"/>
    <w:link w:val="26"/>
    <w:autoRedefine/>
    <w:qFormat/>
    <w:uiPriority w:val="0"/>
    <w:pPr>
      <w:spacing w:after="120" w:afterLines="0" w:afterAutospacing="0"/>
    </w:pPr>
  </w:style>
  <w:style w:type="paragraph" w:styleId="10">
    <w:name w:val="List Bullet 2"/>
    <w:basedOn w:val="1"/>
    <w:next w:val="11"/>
    <w:semiHidden/>
    <w:unhideWhenUsed/>
    <w:qFormat/>
    <w:uiPriority w:val="99"/>
    <w:pPr>
      <w:numPr>
        <w:ilvl w:val="0"/>
        <w:numId w:val="2"/>
      </w:numPr>
    </w:pPr>
  </w:style>
  <w:style w:type="paragraph" w:customStyle="1" w:styleId="11">
    <w:name w:val="xl70"/>
    <w:basedOn w:val="1"/>
    <w:next w:val="12"/>
    <w:qFormat/>
    <w:uiPriority w:val="0"/>
    <w:pPr>
      <w:widowControl/>
      <w:spacing w:before="280" w:after="280" w:line="240" w:lineRule="auto"/>
    </w:pPr>
    <w:rPr>
      <w:rFonts w:ascii="宋体" w:hAnsi="Times New Roman" w:eastAsia="宋体" w:cs="Times New Roman"/>
      <w:szCs w:val="24"/>
    </w:rPr>
  </w:style>
  <w:style w:type="paragraph" w:customStyle="1" w:styleId="12">
    <w:name w:val="正文缩进1"/>
    <w:basedOn w:val="1"/>
    <w:next w:val="13"/>
    <w:qFormat/>
    <w:uiPriority w:val="0"/>
    <w:pPr>
      <w:spacing w:line="240" w:lineRule="auto"/>
      <w:ind w:firstLine="420"/>
    </w:pPr>
    <w:rPr>
      <w:rFonts w:ascii="宋体" w:hAnsi="Times New Roman" w:eastAsia="宋体" w:cs="Times New Roman"/>
      <w:sz w:val="28"/>
      <w:szCs w:val="24"/>
    </w:rPr>
  </w:style>
  <w:style w:type="paragraph" w:customStyle="1" w:styleId="13">
    <w:name w:val="td1"/>
    <w:basedOn w:val="1"/>
    <w:next w:val="1"/>
    <w:qFormat/>
    <w:uiPriority w:val="0"/>
    <w:pPr>
      <w:widowControl/>
      <w:spacing w:before="280" w:after="280" w:line="300" w:lineRule="atLeast"/>
      <w:ind w:firstLine="200"/>
    </w:pPr>
    <w:rPr>
      <w:rFonts w:ascii="Times New Roman" w:hAnsi="Times New Roman" w:eastAsia="宋体" w:cs="Times New Roman"/>
      <w:color w:val="000000"/>
      <w:sz w:val="18"/>
      <w:szCs w:val="24"/>
    </w:rPr>
  </w:style>
  <w:style w:type="paragraph" w:styleId="14">
    <w:name w:val="Plain Text"/>
    <w:basedOn w:val="1"/>
    <w:next w:val="15"/>
    <w:autoRedefine/>
    <w:qFormat/>
    <w:uiPriority w:val="0"/>
    <w:rPr>
      <w:rFonts w:ascii="宋体" w:hAnsi="Courier New"/>
    </w:rPr>
  </w:style>
  <w:style w:type="paragraph" w:customStyle="1" w:styleId="15">
    <w:name w:val="Default"/>
    <w:basedOn w:val="16"/>
    <w:next w:val="17"/>
    <w:autoRedefine/>
    <w:qFormat/>
    <w:uiPriority w:val="0"/>
    <w:pPr>
      <w:autoSpaceDE w:val="0"/>
      <w:autoSpaceDN w:val="0"/>
      <w:adjustRightInd w:val="0"/>
    </w:pPr>
    <w:rPr>
      <w:rFonts w:ascii="Arial Unicode MS" w:hAnsi="Arial Unicode MS" w:cs="Arial Unicode MS"/>
      <w:color w:val="000000"/>
      <w:sz w:val="24"/>
    </w:rPr>
  </w:style>
  <w:style w:type="paragraph" w:customStyle="1" w:styleId="16">
    <w:name w:val="纯文本1"/>
    <w:basedOn w:val="1"/>
    <w:autoRedefine/>
    <w:qFormat/>
    <w:uiPriority w:val="0"/>
    <w:pPr>
      <w:jc w:val="center"/>
    </w:pPr>
    <w:rPr>
      <w:rFonts w:ascii="宋体" w:hAnsi="Courier New"/>
    </w:rPr>
  </w:style>
  <w:style w:type="paragraph" w:styleId="17">
    <w:name w:val="List"/>
    <w:basedOn w:val="1"/>
    <w:next w:val="10"/>
    <w:qFormat/>
    <w:uiPriority w:val="0"/>
    <w:pPr>
      <w:spacing w:line="240" w:lineRule="auto"/>
      <w:ind w:left="420" w:hanging="420" w:hangingChars="200"/>
    </w:pPr>
    <w:rPr>
      <w:sz w:val="21"/>
    </w:rPr>
  </w:style>
  <w:style w:type="paragraph" w:styleId="18">
    <w:name w:val="footer"/>
    <w:basedOn w:val="1"/>
    <w:semiHidden/>
    <w:unhideWhenUsed/>
    <w:uiPriority w:val="99"/>
    <w:pPr>
      <w:tabs>
        <w:tab w:val="center" w:pos="4153"/>
        <w:tab w:val="right" w:pos="8306"/>
      </w:tabs>
      <w:snapToGrid w:val="0"/>
      <w:jc w:val="left"/>
    </w:pPr>
    <w:rPr>
      <w:sz w:val="18"/>
    </w:rPr>
  </w:style>
  <w:style w:type="paragraph" w:styleId="19">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0">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table" w:styleId="22">
    <w:name w:val="Table Grid"/>
    <w:basedOn w:val="21"/>
    <w:unhideWhenUsed/>
    <w:qFormat/>
    <w:uiPriority w:val="99"/>
    <w:pPr>
      <w:widowControl w:val="0"/>
      <w:jc w:val="both"/>
    </w:pPr>
    <w:rPr>
      <w:rFonts w:ascii="Times New Roman" w:hAnsi="Times New Roman" w:eastAsia="Times New Roman"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24">
    <w:name w:val="图表文字"/>
    <w:basedOn w:val="9"/>
    <w:next w:val="1"/>
    <w:qFormat/>
    <w:uiPriority w:val="0"/>
    <w:pPr>
      <w:spacing w:line="0" w:lineRule="atLeast"/>
      <w:ind w:firstLine="0" w:firstLineChars="0"/>
      <w:jc w:val="center"/>
    </w:pPr>
    <w:rPr>
      <w:rFonts w:ascii="Times New Roman" w:hAnsi="Times New Roman" w:eastAsia="宋体" w:cs="Times New Roman"/>
      <w:color w:val="auto"/>
      <w:sz w:val="21"/>
      <w:szCs w:val="21"/>
    </w:rPr>
  </w:style>
  <w:style w:type="character" w:customStyle="1" w:styleId="25">
    <w:name w:val="标题 1 Char"/>
    <w:basedOn w:val="23"/>
    <w:link w:val="2"/>
    <w:qFormat/>
    <w:uiPriority w:val="99"/>
    <w:rPr>
      <w:rFonts w:ascii="Calibri" w:hAnsi="Calibri" w:eastAsia="宋体" w:cs="Times New Roman"/>
      <w:b/>
      <w:bCs/>
      <w:spacing w:val="-16"/>
      <w:szCs w:val="21"/>
    </w:rPr>
  </w:style>
  <w:style w:type="character" w:customStyle="1" w:styleId="26">
    <w:name w:val="正文文本 Char"/>
    <w:link w:val="9"/>
    <w:qFormat/>
    <w:uiPriority w:val="0"/>
  </w:style>
  <w:style w:type="paragraph" w:customStyle="1" w:styleId="27">
    <w:name w:val="表标题"/>
    <w:basedOn w:val="1"/>
    <w:next w:val="1"/>
    <w:qFormat/>
    <w:uiPriority w:val="0"/>
    <w:pPr>
      <w:keepNext/>
      <w:spacing w:before="50" w:beforeLines="50" w:line="0" w:lineRule="atLeast"/>
      <w:ind w:firstLine="0" w:firstLineChars="0"/>
      <w:jc w:val="center"/>
    </w:pPr>
    <w:rPr>
      <w:rFonts w:ascii="Times New Roman" w:hAnsi="Times New Roman" w:eastAsia="宋体"/>
      <w:b/>
      <w:bCs/>
    </w:rPr>
  </w:style>
  <w:style w:type="paragraph" w:customStyle="1" w:styleId="28">
    <w:name w:val="Table Text"/>
    <w:basedOn w:val="1"/>
    <w:semiHidden/>
    <w:qFormat/>
    <w:uiPriority w:val="0"/>
    <w:rPr>
      <w:rFonts w:ascii="宋体" w:hAnsi="宋体" w:eastAsia="宋体" w:cs="宋体"/>
      <w:sz w:val="18"/>
      <w:szCs w:val="18"/>
      <w:lang w:val="en-US" w:eastAsia="en-US" w:bidi="ar-SA"/>
    </w:rPr>
  </w:style>
  <w:style w:type="table" w:customStyle="1" w:styleId="29">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10</Pages>
  <Words>3864</Words>
  <Characters>4543</Characters>
  <Lines>24</Lines>
  <Paragraphs>7</Paragraphs>
  <TotalTime>3</TotalTime>
  <ScaleCrop>false</ScaleCrop>
  <LinksUpToDate>false</LinksUpToDate>
  <CharactersWithSpaces>4581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2018-01-11T08:59:00Z</dcterms:created>
  <dc:creator>林福青</dc:creator>
  <cp:lastModifiedBy>R</cp:lastModifiedBy>
  <cp:lastPrinted>2018-01-18T01:59:00Z</cp:lastPrinted>
  <dcterms:modified xsi:type="dcterms:W3CDTF">2026-09-30T03:49:51Z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eyJoZGlkIjoiYmQ2NDNjODYwMTczYjU3NzE2YzA3ZDc5MGU0OTBiNzciLCJ1c2VySWQiOiIzMjY3MjM1OTUifQ==</vt:lpwstr>
  </property>
  <property fmtid="{D5CDD505-2E9C-101B-9397-08002B2CF9AE}" pid="4" name="ICV">
    <vt:lpwstr>4DFAB96A64B44DC5A1755CD9F51E1CBF_13</vt:lpwstr>
  </property>
</Properties>
</file>